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40"/>
          <w:szCs w:val="40"/>
        </w:rPr>
      </w:pPr>
      <w:r>
        <w:rPr>
          <w:rFonts w:hint="eastAsia" w:ascii="宋体" w:hAnsi="宋体" w:eastAsia="宋体" w:cs="宋体"/>
          <w:sz w:val="40"/>
          <w:szCs w:val="40"/>
        </w:rPr>
        <w:t>凤阳县气象局2020年政府信息公开工作</w:t>
      </w:r>
    </w:p>
    <w:p>
      <w:pPr>
        <w:jc w:val="center"/>
        <w:rPr>
          <w:rFonts w:hint="eastAsia" w:ascii="方正小标宋简体" w:hAnsi="方正小标宋简体" w:eastAsia="方正小标宋简体" w:cs="方正小标宋简体"/>
          <w:sz w:val="36"/>
          <w:szCs w:val="36"/>
        </w:rPr>
      </w:pPr>
      <w:r>
        <w:rPr>
          <w:rFonts w:hint="eastAsia" w:ascii="宋体" w:hAnsi="宋体" w:eastAsia="宋体" w:cs="宋体"/>
          <w:sz w:val="40"/>
          <w:szCs w:val="40"/>
        </w:rPr>
        <w:t>年度报告</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bCs/>
          <w:color w:val="333333"/>
          <w:kern w:val="0"/>
          <w:sz w:val="32"/>
          <w:szCs w:val="32"/>
        </w:rPr>
      </w:pPr>
      <w:r>
        <w:rPr>
          <w:rFonts w:ascii="仿宋" w:hAnsi="仿宋" w:eastAsia="仿宋" w:cs="仿宋"/>
          <w:color w:val="333333"/>
          <w:sz w:val="32"/>
          <w:szCs w:val="32"/>
          <w:shd w:val="clear" w:fill="FFFFFF"/>
        </w:rPr>
        <w:t>本报告根据修订后的《中华人民共和国政府信息公开条例》和《国务院办公厅政府信息与政务公开办公室关于政府信息公开工作年度报告有关事项的通知》（国办公开办函〔</w:t>
      </w:r>
      <w:r>
        <w:rPr>
          <w:rFonts w:hint="eastAsia" w:ascii="仿宋" w:hAnsi="仿宋" w:eastAsia="仿宋" w:cs="仿宋"/>
          <w:color w:val="333333"/>
          <w:sz w:val="32"/>
          <w:szCs w:val="32"/>
          <w:shd w:val="clear" w:fill="FFFFFF"/>
        </w:rPr>
        <w:t>2019〕60号）要求形成</w:t>
      </w:r>
      <w:r>
        <w:rPr>
          <w:rFonts w:hint="eastAsia" w:ascii="仿宋" w:hAnsi="仿宋" w:eastAsia="仿宋" w:cs="仿宋"/>
          <w:color w:val="333333"/>
          <w:sz w:val="32"/>
          <w:szCs w:val="32"/>
          <w:shd w:val="clear" w:fill="FFFFFF"/>
          <w:lang w:eastAsia="zh-CN"/>
        </w:rPr>
        <w:t>，</w:t>
      </w:r>
      <w:r>
        <w:rPr>
          <w:rFonts w:hint="eastAsia" w:ascii="仿宋" w:hAnsi="仿宋" w:eastAsia="仿宋" w:cs="仿宋"/>
          <w:color w:val="333333"/>
          <w:sz w:val="32"/>
          <w:szCs w:val="32"/>
          <w:shd w:val="clear" w:fill="FFFFFF"/>
        </w:rPr>
        <w:t>由凤阳县</w:t>
      </w:r>
      <w:r>
        <w:rPr>
          <w:rFonts w:hint="eastAsia" w:ascii="仿宋" w:hAnsi="仿宋" w:eastAsia="仿宋" w:cs="仿宋"/>
          <w:color w:val="333333"/>
          <w:sz w:val="32"/>
          <w:szCs w:val="32"/>
          <w:shd w:val="clear" w:fill="FFFFFF"/>
          <w:lang w:val="en-US" w:eastAsia="zh-CN"/>
        </w:rPr>
        <w:t>气象局</w:t>
      </w:r>
      <w:r>
        <w:rPr>
          <w:rFonts w:hint="eastAsia" w:ascii="仿宋" w:hAnsi="仿宋" w:eastAsia="仿宋" w:cs="仿宋"/>
          <w:color w:val="333333"/>
          <w:sz w:val="32"/>
          <w:szCs w:val="32"/>
          <w:shd w:val="clear" w:fill="FFFFFF"/>
        </w:rPr>
        <w:t>政务公开办公室编制，全文包括总体情况、主动公开政府信息情况、收到和处理政府信息公开申请情况、政府信息公开行政复议、行政诉讼情况、存在的主要问题及改进情况、其他需要报告的事项等六个部分。本年度报告中使用数据统计期限为2020年1月1日起至2020年12月31日止。本报告电子版可以从凤阳县人民政府网站信息公开板块（网址：http://www.fengyang.gov.cn/public/161055520/1109710484.html）下载，如对本报告有疑问，请与凤阳县</w:t>
      </w:r>
      <w:r>
        <w:rPr>
          <w:rFonts w:hint="eastAsia" w:ascii="仿宋" w:hAnsi="仿宋" w:eastAsia="仿宋" w:cs="仿宋"/>
          <w:color w:val="333333"/>
          <w:sz w:val="32"/>
          <w:szCs w:val="32"/>
          <w:shd w:val="clear" w:fill="FFFFFF"/>
          <w:lang w:val="en-US" w:eastAsia="zh-CN"/>
        </w:rPr>
        <w:t>气象局</w:t>
      </w:r>
      <w:r>
        <w:rPr>
          <w:rFonts w:hint="eastAsia" w:ascii="仿宋" w:hAnsi="仿宋" w:eastAsia="仿宋" w:cs="仿宋"/>
          <w:color w:val="333333"/>
          <w:sz w:val="32"/>
          <w:szCs w:val="32"/>
          <w:shd w:val="clear" w:fill="FFFFFF"/>
        </w:rPr>
        <w:t>政务公开办公室联系（地址：凤阳县</w:t>
      </w:r>
      <w:r>
        <w:rPr>
          <w:rFonts w:hint="eastAsia" w:ascii="仿宋" w:hAnsi="仿宋" w:eastAsia="仿宋" w:cs="仿宋"/>
          <w:color w:val="333333"/>
          <w:sz w:val="32"/>
          <w:szCs w:val="32"/>
          <w:shd w:val="clear" w:fill="FFFFFF"/>
          <w:lang w:val="en-US" w:eastAsia="zh-CN"/>
        </w:rPr>
        <w:t>府城镇宜文路166号</w:t>
      </w:r>
      <w:r>
        <w:rPr>
          <w:rFonts w:hint="eastAsia" w:ascii="仿宋" w:hAnsi="仿宋" w:eastAsia="仿宋" w:cs="仿宋"/>
          <w:color w:val="333333"/>
          <w:sz w:val="32"/>
          <w:szCs w:val="32"/>
          <w:shd w:val="clear" w:fill="FFFFFF"/>
        </w:rPr>
        <w:t>，联系电话：0550-67</w:t>
      </w:r>
      <w:r>
        <w:rPr>
          <w:rFonts w:hint="eastAsia" w:ascii="仿宋" w:hAnsi="仿宋" w:eastAsia="仿宋" w:cs="仿宋"/>
          <w:color w:val="333333"/>
          <w:sz w:val="32"/>
          <w:szCs w:val="32"/>
          <w:shd w:val="clear" w:fill="FFFFFF"/>
          <w:lang w:val="en-US" w:eastAsia="zh-CN"/>
        </w:rPr>
        <w:t>21723</w:t>
      </w:r>
      <w:r>
        <w:rPr>
          <w:rFonts w:hint="eastAsia" w:ascii="仿宋" w:hAnsi="仿宋" w:eastAsia="仿宋" w:cs="仿宋"/>
          <w:color w:val="333333"/>
          <w:sz w:val="32"/>
          <w:szCs w:val="32"/>
          <w:shd w:val="clear" w:fill="FFFFFF"/>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333333"/>
          <w:kern w:val="0"/>
          <w:sz w:val="32"/>
          <w:szCs w:val="32"/>
        </w:rPr>
      </w:pPr>
      <w:r>
        <w:rPr>
          <w:rFonts w:hint="eastAsia" w:ascii="黑体" w:hAnsi="黑体" w:eastAsia="黑体" w:cs="黑体"/>
          <w:b/>
          <w:bCs/>
          <w:color w:val="333333"/>
          <w:kern w:val="0"/>
          <w:sz w:val="32"/>
          <w:szCs w:val="32"/>
        </w:rPr>
        <w:t>一、总体情况</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333333"/>
          <w:kern w:val="0"/>
          <w:sz w:val="32"/>
          <w:szCs w:val="32"/>
          <w:lang w:val="en-US" w:eastAsia="zh-CN"/>
        </w:rPr>
      </w:pPr>
      <w:r>
        <w:rPr>
          <w:rFonts w:hint="eastAsia" w:ascii="仿宋" w:hAnsi="仿宋" w:eastAsia="仿宋" w:cs="仿宋"/>
          <w:color w:val="333333"/>
          <w:kern w:val="0"/>
          <w:sz w:val="32"/>
          <w:szCs w:val="32"/>
        </w:rPr>
        <w:t>20</w:t>
      </w:r>
      <w:r>
        <w:rPr>
          <w:rFonts w:hint="eastAsia" w:ascii="仿宋" w:hAnsi="仿宋" w:eastAsia="仿宋" w:cs="仿宋"/>
          <w:color w:val="333333"/>
          <w:kern w:val="0"/>
          <w:sz w:val="32"/>
          <w:szCs w:val="32"/>
          <w:lang w:val="en-US" w:eastAsia="zh-CN"/>
        </w:rPr>
        <w:t>20</w:t>
      </w:r>
      <w:r>
        <w:rPr>
          <w:rFonts w:hint="eastAsia" w:ascii="仿宋" w:hAnsi="仿宋" w:eastAsia="仿宋" w:cs="仿宋"/>
          <w:color w:val="333333"/>
          <w:kern w:val="0"/>
          <w:sz w:val="32"/>
          <w:szCs w:val="32"/>
        </w:rPr>
        <w:t>年，</w:t>
      </w:r>
      <w:r>
        <w:rPr>
          <w:rFonts w:hint="eastAsia" w:ascii="仿宋" w:hAnsi="仿宋" w:eastAsia="仿宋" w:cs="仿宋"/>
          <w:color w:val="333333"/>
          <w:kern w:val="0"/>
          <w:sz w:val="32"/>
          <w:szCs w:val="32"/>
          <w:lang w:val="en-US" w:eastAsia="zh-CN"/>
        </w:rPr>
        <w:t>凤阳县气象</w:t>
      </w:r>
      <w:r>
        <w:rPr>
          <w:rFonts w:hint="eastAsia" w:ascii="仿宋" w:hAnsi="仿宋" w:eastAsia="仿宋" w:cs="仿宋"/>
          <w:color w:val="333333"/>
          <w:kern w:val="0"/>
          <w:sz w:val="32"/>
          <w:szCs w:val="32"/>
        </w:rPr>
        <w:t>局</w:t>
      </w:r>
      <w:r>
        <w:rPr>
          <w:rFonts w:hint="eastAsia" w:ascii="仿宋" w:hAnsi="仿宋" w:eastAsia="仿宋" w:cs="仿宋"/>
          <w:color w:val="333333"/>
          <w:kern w:val="0"/>
          <w:sz w:val="32"/>
          <w:szCs w:val="32"/>
          <w:lang w:val="en-US" w:eastAsia="zh-CN"/>
        </w:rPr>
        <w:t>根据</w:t>
      </w:r>
      <w:r>
        <w:rPr>
          <w:rFonts w:hint="eastAsia" w:ascii="仿宋" w:hAnsi="仿宋" w:eastAsia="仿宋" w:cs="仿宋"/>
          <w:color w:val="333333"/>
          <w:kern w:val="0"/>
          <w:sz w:val="32"/>
          <w:szCs w:val="32"/>
        </w:rPr>
        <w:t>《中华人民共和国政府信息公开条例》和上级有关要求，</w:t>
      </w:r>
      <w:r>
        <w:rPr>
          <w:rFonts w:hint="eastAsia" w:ascii="仿宋" w:hAnsi="仿宋" w:eastAsia="仿宋" w:cs="仿宋"/>
          <w:color w:val="333333"/>
          <w:kern w:val="0"/>
          <w:sz w:val="32"/>
          <w:szCs w:val="32"/>
          <w:lang w:val="en-US" w:eastAsia="zh-CN"/>
        </w:rPr>
        <w:t>认真做好</w:t>
      </w:r>
      <w:r>
        <w:rPr>
          <w:rFonts w:hint="eastAsia" w:ascii="仿宋" w:hAnsi="仿宋" w:eastAsia="仿宋" w:cs="仿宋"/>
          <w:color w:val="333333"/>
          <w:kern w:val="0"/>
          <w:sz w:val="32"/>
          <w:szCs w:val="32"/>
        </w:rPr>
        <w:t>政府信息公开工作</w:t>
      </w:r>
      <w:r>
        <w:rPr>
          <w:rFonts w:hint="eastAsia" w:ascii="仿宋" w:hAnsi="仿宋" w:eastAsia="仿宋" w:cs="仿宋"/>
          <w:color w:val="333333"/>
          <w:kern w:val="0"/>
          <w:sz w:val="32"/>
          <w:szCs w:val="32"/>
          <w:lang w:eastAsia="zh-CN"/>
        </w:rPr>
        <w:t>。</w:t>
      </w:r>
      <w:r>
        <w:rPr>
          <w:rFonts w:hint="eastAsia" w:ascii="仿宋" w:hAnsi="仿宋" w:eastAsia="仿宋" w:cs="仿宋"/>
          <w:color w:val="333333"/>
          <w:kern w:val="0"/>
          <w:sz w:val="32"/>
          <w:szCs w:val="32"/>
          <w:lang w:val="en-US" w:eastAsia="zh-CN"/>
        </w:rPr>
        <w:t>在</w:t>
      </w:r>
      <w:r>
        <w:rPr>
          <w:rFonts w:hint="eastAsia" w:ascii="仿宋" w:hAnsi="仿宋" w:eastAsia="仿宋" w:cs="仿宋"/>
          <w:color w:val="333333"/>
          <w:kern w:val="0"/>
          <w:sz w:val="32"/>
          <w:szCs w:val="32"/>
        </w:rPr>
        <w:t>完善政府信息公开制度</w:t>
      </w:r>
      <w:r>
        <w:rPr>
          <w:rFonts w:hint="eastAsia" w:ascii="仿宋" w:hAnsi="仿宋" w:eastAsia="仿宋" w:cs="仿宋"/>
          <w:color w:val="333333"/>
          <w:kern w:val="0"/>
          <w:sz w:val="32"/>
          <w:szCs w:val="32"/>
          <w:lang w:eastAsia="zh-CN"/>
        </w:rPr>
        <w:t>、</w:t>
      </w:r>
      <w:r>
        <w:rPr>
          <w:rFonts w:hint="eastAsia" w:ascii="仿宋" w:hAnsi="仿宋" w:eastAsia="仿宋" w:cs="仿宋"/>
          <w:color w:val="333333"/>
          <w:kern w:val="0"/>
          <w:sz w:val="32"/>
          <w:szCs w:val="32"/>
        </w:rPr>
        <w:t>规范深化政府信息公开内容</w:t>
      </w:r>
      <w:r>
        <w:rPr>
          <w:rFonts w:hint="eastAsia" w:ascii="仿宋" w:hAnsi="仿宋" w:eastAsia="仿宋" w:cs="仿宋"/>
          <w:color w:val="333333"/>
          <w:kern w:val="0"/>
          <w:sz w:val="32"/>
          <w:szCs w:val="32"/>
          <w:lang w:eastAsia="zh-CN"/>
        </w:rPr>
        <w:t>、</w:t>
      </w:r>
      <w:r>
        <w:rPr>
          <w:rFonts w:hint="eastAsia" w:ascii="仿宋" w:hAnsi="仿宋" w:eastAsia="仿宋" w:cs="仿宋"/>
          <w:color w:val="333333"/>
          <w:kern w:val="0"/>
          <w:sz w:val="32"/>
          <w:szCs w:val="32"/>
        </w:rPr>
        <w:t>改进提高</w:t>
      </w:r>
      <w:r>
        <w:rPr>
          <w:rFonts w:hint="eastAsia" w:ascii="仿宋" w:hAnsi="仿宋" w:eastAsia="仿宋" w:cs="仿宋"/>
          <w:color w:val="333333"/>
          <w:kern w:val="0"/>
          <w:sz w:val="32"/>
          <w:szCs w:val="32"/>
          <w:lang w:val="en-US" w:eastAsia="zh-CN"/>
        </w:rPr>
        <w:t>信息公开</w:t>
      </w:r>
      <w:r>
        <w:rPr>
          <w:rFonts w:hint="eastAsia" w:ascii="仿宋" w:hAnsi="仿宋" w:eastAsia="仿宋" w:cs="仿宋"/>
          <w:color w:val="333333"/>
          <w:kern w:val="0"/>
          <w:sz w:val="32"/>
          <w:szCs w:val="32"/>
        </w:rPr>
        <w:t>网站服务质量</w:t>
      </w:r>
      <w:r>
        <w:rPr>
          <w:rFonts w:hint="eastAsia" w:ascii="仿宋" w:hAnsi="仿宋" w:eastAsia="仿宋" w:cs="仿宋"/>
          <w:color w:val="333333"/>
          <w:kern w:val="0"/>
          <w:sz w:val="32"/>
          <w:szCs w:val="32"/>
          <w:lang w:eastAsia="zh-CN"/>
        </w:rPr>
        <w:t>、</w:t>
      </w:r>
      <w:r>
        <w:rPr>
          <w:rFonts w:hint="eastAsia" w:ascii="仿宋" w:hAnsi="仿宋" w:eastAsia="仿宋" w:cs="仿宋"/>
          <w:color w:val="333333"/>
          <w:kern w:val="0"/>
          <w:sz w:val="32"/>
          <w:szCs w:val="32"/>
        </w:rPr>
        <w:t>规范政府信息公开申请处理流程</w:t>
      </w:r>
      <w:r>
        <w:rPr>
          <w:rFonts w:hint="eastAsia" w:ascii="仿宋" w:hAnsi="仿宋" w:eastAsia="仿宋" w:cs="仿宋"/>
          <w:color w:val="333333"/>
          <w:kern w:val="0"/>
          <w:sz w:val="32"/>
          <w:szCs w:val="32"/>
          <w:lang w:eastAsia="zh-CN"/>
        </w:rPr>
        <w:t>、</w:t>
      </w:r>
      <w:r>
        <w:rPr>
          <w:rFonts w:hint="eastAsia" w:ascii="仿宋" w:hAnsi="仿宋" w:eastAsia="仿宋" w:cs="仿宋"/>
          <w:color w:val="333333"/>
          <w:kern w:val="0"/>
          <w:sz w:val="32"/>
          <w:szCs w:val="32"/>
        </w:rPr>
        <w:t>拓展政府信息公开形式</w:t>
      </w:r>
      <w:r>
        <w:rPr>
          <w:rFonts w:hint="eastAsia" w:ascii="仿宋" w:hAnsi="仿宋" w:eastAsia="仿宋" w:cs="仿宋"/>
          <w:color w:val="333333"/>
          <w:kern w:val="0"/>
          <w:sz w:val="32"/>
          <w:szCs w:val="32"/>
          <w:lang w:val="en-US" w:eastAsia="zh-CN"/>
        </w:rPr>
        <w:t>等方面</w:t>
      </w:r>
      <w:r>
        <w:rPr>
          <w:rFonts w:hint="eastAsia" w:ascii="仿宋" w:hAnsi="仿宋" w:eastAsia="仿宋" w:cs="仿宋"/>
          <w:color w:val="333333"/>
          <w:kern w:val="0"/>
          <w:sz w:val="32"/>
          <w:szCs w:val="32"/>
          <w:lang w:eastAsia="zh-CN"/>
        </w:rPr>
        <w:t>，</w:t>
      </w:r>
      <w:r>
        <w:rPr>
          <w:rFonts w:hint="eastAsia" w:ascii="仿宋" w:hAnsi="仿宋" w:eastAsia="仿宋" w:cs="仿宋"/>
          <w:color w:val="333333"/>
          <w:kern w:val="0"/>
          <w:sz w:val="32"/>
          <w:szCs w:val="32"/>
        </w:rPr>
        <w:t>进一步加强领导，健全</w:t>
      </w:r>
      <w:r>
        <w:rPr>
          <w:rFonts w:hint="eastAsia" w:ascii="仿宋" w:hAnsi="仿宋" w:eastAsia="仿宋" w:cs="仿宋"/>
          <w:color w:val="333333"/>
          <w:kern w:val="0"/>
          <w:sz w:val="32"/>
          <w:szCs w:val="32"/>
          <w:lang w:val="en-US" w:eastAsia="zh-CN"/>
        </w:rPr>
        <w:t>工作机制</w:t>
      </w:r>
      <w:r>
        <w:rPr>
          <w:rFonts w:hint="eastAsia" w:ascii="仿宋" w:hAnsi="仿宋" w:eastAsia="仿宋" w:cs="仿宋"/>
          <w:color w:val="333333"/>
          <w:kern w:val="0"/>
          <w:sz w:val="32"/>
          <w:szCs w:val="32"/>
        </w:rPr>
        <w:t>，</w:t>
      </w:r>
      <w:r>
        <w:rPr>
          <w:rFonts w:hint="eastAsia" w:ascii="仿宋" w:hAnsi="仿宋" w:eastAsia="仿宋" w:cs="仿宋"/>
          <w:color w:val="333333"/>
          <w:kern w:val="0"/>
          <w:sz w:val="32"/>
          <w:szCs w:val="32"/>
          <w:lang w:val="en-US" w:eastAsia="zh-CN"/>
        </w:rPr>
        <w:t>持续</w:t>
      </w:r>
      <w:r>
        <w:rPr>
          <w:rFonts w:hint="eastAsia" w:ascii="仿宋" w:hAnsi="仿宋" w:eastAsia="仿宋" w:cs="仿宋"/>
          <w:color w:val="333333"/>
          <w:kern w:val="0"/>
          <w:sz w:val="32"/>
          <w:szCs w:val="32"/>
        </w:rPr>
        <w:t>推进政府信息公开工作</w:t>
      </w:r>
      <w:r>
        <w:rPr>
          <w:rFonts w:hint="eastAsia" w:ascii="仿宋" w:hAnsi="仿宋" w:eastAsia="仿宋" w:cs="仿宋"/>
          <w:color w:val="333333"/>
          <w:kern w:val="0"/>
          <w:sz w:val="32"/>
          <w:szCs w:val="32"/>
          <w:lang w:eastAsia="zh-CN"/>
        </w:rPr>
        <w:t>。</w:t>
      </w:r>
      <w:r>
        <w:rPr>
          <w:rFonts w:hint="eastAsia" w:ascii="仿宋" w:hAnsi="仿宋" w:eastAsia="仿宋" w:cs="仿宋"/>
          <w:color w:val="333333"/>
          <w:kern w:val="0"/>
          <w:sz w:val="32"/>
          <w:szCs w:val="32"/>
          <w:lang w:val="en-US" w:eastAsia="zh-CN"/>
        </w:rPr>
        <w:t>按照2020年版</w:t>
      </w:r>
      <w:r>
        <w:rPr>
          <w:rFonts w:hint="eastAsia" w:ascii="仿宋" w:hAnsi="仿宋" w:eastAsia="仿宋" w:cs="仿宋"/>
          <w:color w:val="333333"/>
          <w:kern w:val="0"/>
          <w:sz w:val="32"/>
          <w:szCs w:val="32"/>
        </w:rPr>
        <w:t>《政府信息公开目录》</w:t>
      </w:r>
      <w:r>
        <w:rPr>
          <w:rFonts w:hint="eastAsia" w:ascii="仿宋" w:hAnsi="仿宋" w:eastAsia="仿宋" w:cs="仿宋"/>
          <w:color w:val="333333"/>
          <w:kern w:val="0"/>
          <w:sz w:val="32"/>
          <w:szCs w:val="32"/>
          <w:lang w:eastAsia="zh-CN"/>
        </w:rPr>
        <w:t>，</w:t>
      </w:r>
      <w:r>
        <w:rPr>
          <w:rFonts w:hint="eastAsia" w:ascii="仿宋" w:hAnsi="仿宋" w:eastAsia="仿宋" w:cs="仿宋"/>
          <w:color w:val="333333"/>
          <w:kern w:val="0"/>
          <w:sz w:val="32"/>
          <w:szCs w:val="32"/>
          <w:lang w:val="en-US" w:eastAsia="zh-CN"/>
        </w:rPr>
        <w:t>全年</w:t>
      </w:r>
      <w:r>
        <w:rPr>
          <w:rFonts w:hint="eastAsia" w:ascii="仿宋" w:hAnsi="仿宋" w:eastAsia="仿宋" w:cs="仿宋"/>
          <w:color w:val="333333"/>
          <w:kern w:val="0"/>
          <w:sz w:val="32"/>
          <w:szCs w:val="32"/>
        </w:rPr>
        <w:t>主动公开</w:t>
      </w:r>
      <w:r>
        <w:rPr>
          <w:rFonts w:hint="eastAsia" w:ascii="仿宋" w:hAnsi="仿宋" w:eastAsia="仿宋" w:cs="仿宋"/>
          <w:color w:val="333333"/>
          <w:kern w:val="0"/>
          <w:sz w:val="32"/>
          <w:szCs w:val="32"/>
          <w:lang w:val="en-US" w:eastAsia="zh-CN"/>
        </w:rPr>
        <w:t>各类信息</w:t>
      </w:r>
      <w:r>
        <w:rPr>
          <w:rFonts w:hint="eastAsia" w:ascii="仿宋" w:hAnsi="仿宋" w:eastAsia="仿宋" w:cs="仿宋"/>
          <w:color w:val="auto"/>
          <w:kern w:val="0"/>
          <w:sz w:val="32"/>
          <w:szCs w:val="32"/>
          <w:lang w:val="en-US" w:eastAsia="zh-CN"/>
        </w:rPr>
        <w:t>528条</w:t>
      </w:r>
      <w:r>
        <w:rPr>
          <w:rFonts w:hint="eastAsia" w:ascii="仿宋" w:hAnsi="仿宋" w:eastAsia="仿宋" w:cs="仿宋"/>
          <w:color w:val="333333"/>
          <w:kern w:val="0"/>
          <w:sz w:val="32"/>
          <w:szCs w:val="32"/>
          <w:lang w:val="en-US" w:eastAsia="zh-CN"/>
        </w:rPr>
        <w:t>（2019年441条），其中“回应关切-主动回应”373条（主要包括气象预报信息），“行政权力运行”13条，“机构领导”5条，“政策法规-部门文件”9条，“监督保障”23条。每月发布依申请公开目录，全年未收到依申请公开申请。全年没有因为政府信息公开工作而被申请行政复议或被提起行政诉讼。</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333333"/>
          <w:kern w:val="0"/>
          <w:sz w:val="32"/>
          <w:szCs w:val="32"/>
          <w:lang w:val="en-US" w:eastAsia="zh-CN"/>
        </w:rPr>
      </w:pPr>
      <w:r>
        <w:rPr>
          <w:rFonts w:hint="eastAsia" w:ascii="楷体" w:hAnsi="楷体" w:eastAsia="楷体" w:cs="楷体"/>
          <w:color w:val="333333"/>
          <w:kern w:val="0"/>
          <w:sz w:val="32"/>
          <w:szCs w:val="32"/>
          <w:lang w:val="en-US" w:eastAsia="zh-CN"/>
        </w:rPr>
        <w:t>（一）主动公开</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333333"/>
          <w:kern w:val="0"/>
          <w:sz w:val="32"/>
          <w:szCs w:val="32"/>
          <w:lang w:val="en-US" w:eastAsia="zh-CN"/>
        </w:rPr>
      </w:pPr>
      <w:r>
        <w:rPr>
          <w:rFonts w:hint="eastAsia" w:ascii="仿宋" w:hAnsi="仿宋" w:eastAsia="仿宋" w:cs="仿宋"/>
          <w:color w:val="333333"/>
          <w:kern w:val="0"/>
          <w:sz w:val="32"/>
          <w:szCs w:val="32"/>
          <w:lang w:val="en-US" w:eastAsia="zh-CN"/>
        </w:rPr>
        <w:t>2020年度，我局努力提升政务公开水平，全面推进决策、执行、管理、服务、结果“五公开”，截至2020年12月31日，本年度信息公开目录信息更新量</w:t>
      </w:r>
      <w:r>
        <w:rPr>
          <w:rFonts w:hint="eastAsia" w:ascii="仿宋" w:hAnsi="仿宋" w:eastAsia="仿宋" w:cs="仿宋"/>
          <w:color w:val="auto"/>
          <w:kern w:val="0"/>
          <w:sz w:val="32"/>
          <w:szCs w:val="32"/>
          <w:lang w:val="en-US" w:eastAsia="zh-CN"/>
        </w:rPr>
        <w:t>528条。</w:t>
      </w:r>
      <w:r>
        <w:rPr>
          <w:rFonts w:hint="eastAsia" w:ascii="仿宋" w:hAnsi="仿宋" w:eastAsia="仿宋" w:cs="仿宋"/>
          <w:color w:val="333333"/>
          <w:kern w:val="0"/>
          <w:sz w:val="32"/>
          <w:szCs w:val="32"/>
          <w:lang w:val="en-US" w:eastAsia="zh-CN"/>
        </w:rPr>
        <w:t>完善重大行政决策公众参与平台，在网站、政务新媒体平台开展政策解读、网上调查、民意征集、政务咨询专栏，开展重大民生决策事项民意调查，及时公开意见征集采纳情况。</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333333"/>
          <w:kern w:val="0"/>
          <w:sz w:val="32"/>
          <w:szCs w:val="32"/>
          <w:lang w:val="en-US" w:eastAsia="zh-CN"/>
        </w:rPr>
      </w:pPr>
      <w:r>
        <w:rPr>
          <w:rFonts w:hint="eastAsia" w:ascii="楷体" w:hAnsi="楷体" w:eastAsia="楷体" w:cs="楷体"/>
          <w:color w:val="333333"/>
          <w:kern w:val="0"/>
          <w:sz w:val="32"/>
          <w:szCs w:val="32"/>
          <w:lang w:val="en-US" w:eastAsia="zh-CN"/>
        </w:rPr>
        <w:t>（二）依申请公开</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333333"/>
          <w:kern w:val="0"/>
          <w:sz w:val="32"/>
          <w:szCs w:val="32"/>
          <w:lang w:val="en-US" w:eastAsia="zh-CN"/>
        </w:rPr>
      </w:pPr>
      <w:r>
        <w:rPr>
          <w:rFonts w:hint="eastAsia" w:ascii="仿宋" w:hAnsi="仿宋" w:eastAsia="仿宋" w:cs="仿宋"/>
          <w:color w:val="333333"/>
          <w:kern w:val="0"/>
          <w:sz w:val="32"/>
          <w:szCs w:val="32"/>
          <w:lang w:val="en-US" w:eastAsia="zh-CN"/>
        </w:rPr>
        <w:t>规范依申请公开办理流程，做好依申请公开接收、办理、答复、存档等工作环节，严格依申请公开办理时限，从收到申请之日起20个工作日内，对相关依申请公开信息按规定时限回复。截至目前，县气象局尚未收到信息公开申请，全年未收到行政复议和行政诉讼。</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333333"/>
          <w:kern w:val="0"/>
          <w:sz w:val="32"/>
          <w:szCs w:val="32"/>
          <w:lang w:val="en-US" w:eastAsia="zh-CN"/>
        </w:rPr>
      </w:pPr>
      <w:r>
        <w:rPr>
          <w:rFonts w:hint="eastAsia" w:ascii="楷体" w:hAnsi="楷体" w:eastAsia="楷体" w:cs="楷体"/>
          <w:color w:val="333333"/>
          <w:kern w:val="0"/>
          <w:sz w:val="32"/>
          <w:szCs w:val="32"/>
          <w:lang w:val="en-US" w:eastAsia="zh-CN"/>
        </w:rPr>
        <w:t>（三）政府信息管理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333333"/>
          <w:kern w:val="0"/>
          <w:sz w:val="32"/>
          <w:szCs w:val="32"/>
          <w:lang w:val="en-US" w:eastAsia="zh-CN"/>
        </w:rPr>
      </w:pPr>
      <w:r>
        <w:rPr>
          <w:rFonts w:hint="eastAsia" w:ascii="仿宋" w:hAnsi="仿宋" w:eastAsia="仿宋" w:cs="仿宋"/>
          <w:color w:val="333333"/>
          <w:kern w:val="0"/>
          <w:sz w:val="32"/>
          <w:szCs w:val="32"/>
          <w:lang w:val="en-US" w:eastAsia="zh-CN"/>
        </w:rPr>
        <w:t>根据主动公开基本目录（2020年版）修改完善县气象局主动公开目录，通过日常人工检查、第三方软件测评等方式加强对网站公开信息的监测力度，对存在的问题及时整改。同时，根据上级对基层政务公开标准化规范化工作的要求，健全政府信息公开属性的源头认定机制，并加强对已公开的信息监测、评估和调整。</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333333"/>
          <w:kern w:val="0"/>
          <w:sz w:val="32"/>
          <w:szCs w:val="32"/>
          <w:lang w:val="en-US" w:eastAsia="zh-CN"/>
        </w:rPr>
      </w:pPr>
      <w:r>
        <w:rPr>
          <w:rFonts w:hint="eastAsia" w:ascii="楷体" w:hAnsi="楷体" w:eastAsia="楷体" w:cs="楷体"/>
          <w:color w:val="333333"/>
          <w:kern w:val="0"/>
          <w:sz w:val="32"/>
          <w:szCs w:val="32"/>
          <w:lang w:val="en-US" w:eastAsia="zh-CN"/>
        </w:rPr>
        <w:t>（四）平台建设</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333333"/>
          <w:kern w:val="0"/>
          <w:sz w:val="32"/>
          <w:szCs w:val="32"/>
          <w:lang w:val="en-US" w:eastAsia="zh-CN"/>
        </w:rPr>
      </w:pPr>
      <w:r>
        <w:rPr>
          <w:rFonts w:hint="eastAsia" w:ascii="仿宋" w:hAnsi="仿宋" w:eastAsia="仿宋" w:cs="仿宋"/>
          <w:color w:val="333333"/>
          <w:kern w:val="0"/>
          <w:sz w:val="32"/>
          <w:szCs w:val="32"/>
          <w:lang w:val="en-US" w:eastAsia="zh-CN"/>
        </w:rPr>
        <w:t>依托县政府门户网和政务服务网，完成市县网站集约化各项工作。为公众在查阅信息、网上办事提供一站式平台，提升了网站整体质量和政务公开的组配完备性。积极开展基本目录新增和重点领域目录修订工作，加强政府信息公开目录管理，对目录进行了调整完善，实现了栏目的优化升级以“五公开”为主体，突出重点领域信息公开，制作回应关切、政策解读、信用信息双公示、新闻发布会、财政信息公开和社会公益事业等专题。</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333333"/>
          <w:kern w:val="0"/>
          <w:sz w:val="32"/>
          <w:szCs w:val="32"/>
          <w:lang w:val="en-US" w:eastAsia="zh-CN"/>
        </w:rPr>
      </w:pPr>
      <w:r>
        <w:rPr>
          <w:rFonts w:hint="eastAsia" w:ascii="楷体" w:hAnsi="楷体" w:eastAsia="楷体" w:cs="楷体"/>
          <w:color w:val="333333"/>
          <w:kern w:val="0"/>
          <w:sz w:val="32"/>
          <w:szCs w:val="32"/>
          <w:lang w:val="en-US" w:eastAsia="zh-CN"/>
        </w:rPr>
        <w:t>（五）监督保障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333333"/>
          <w:kern w:val="0"/>
          <w:sz w:val="32"/>
          <w:szCs w:val="32"/>
          <w:lang w:val="en-US" w:eastAsia="zh-CN"/>
        </w:rPr>
      </w:pPr>
      <w:r>
        <w:rPr>
          <w:rFonts w:hint="eastAsia" w:ascii="仿宋" w:hAnsi="仿宋" w:eastAsia="仿宋" w:cs="仿宋"/>
          <w:color w:val="333333"/>
          <w:kern w:val="0"/>
          <w:sz w:val="32"/>
          <w:szCs w:val="32"/>
          <w:lang w:val="en-US" w:eastAsia="zh-CN"/>
        </w:rPr>
        <w:t>一是强化组织领导。确定专人负责，业务值班人员5人参与每日气象服务信息发布。二是规范制度建设。严格政务公开工作中的制度规范，加快将政务公开要求固化到现有工作体系中，推动政务公开工作与气象业务运行相结合。三是加强督查整改。注重日常网上测评，适时开展现场督查，督查整改一直贯穿于公开工作中。</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color w:val="333333"/>
          <w:kern w:val="0"/>
          <w:sz w:val="32"/>
          <w:szCs w:val="32"/>
        </w:rPr>
      </w:pPr>
      <w:r>
        <w:rPr>
          <w:rFonts w:hint="eastAsia" w:ascii="黑体" w:hAnsi="黑体" w:eastAsia="黑体" w:cs="黑体"/>
          <w:b/>
          <w:bCs/>
          <w:color w:val="333333"/>
          <w:kern w:val="0"/>
          <w:sz w:val="32"/>
          <w:szCs w:val="32"/>
        </w:rPr>
        <w:t>二、主动公开政府信息情况</w:t>
      </w:r>
    </w:p>
    <w:tbl>
      <w:tblPr>
        <w:tblStyle w:val="4"/>
        <w:tblW w:w="8140" w:type="dxa"/>
        <w:jc w:val="center"/>
        <w:tblLayout w:type="autofit"/>
        <w:tblCellMar>
          <w:top w:w="0" w:type="dxa"/>
          <w:left w:w="0" w:type="dxa"/>
          <w:bottom w:w="0" w:type="dxa"/>
          <w:right w:w="0" w:type="dxa"/>
        </w:tblCellMar>
      </w:tblPr>
      <w:tblGrid>
        <w:gridCol w:w="3113"/>
        <w:gridCol w:w="1875"/>
        <w:gridCol w:w="6"/>
        <w:gridCol w:w="1265"/>
        <w:gridCol w:w="1881"/>
      </w:tblGrid>
      <w:tr>
        <w:tblPrEx>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rPr>
            </w:pPr>
            <w:r>
              <w:rPr>
                <w:rFonts w:hint="eastAsia" w:ascii="宋体" w:hAnsi="宋体" w:eastAsia="宋体" w:cs="宋体"/>
                <w:color w:val="000000"/>
                <w:kern w:val="0"/>
                <w:sz w:val="21"/>
                <w:szCs w:val="21"/>
              </w:rPr>
              <w:t>第二十条第（一）项</w:t>
            </w:r>
          </w:p>
        </w:tc>
      </w:tr>
      <w:tr>
        <w:tblPrEx>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rPr>
            </w:pPr>
            <w:r>
              <w:rPr>
                <w:rFonts w:hint="eastAsia" w:ascii="宋体" w:hAnsi="宋体" w:eastAsia="宋体" w:cs="宋体"/>
                <w:color w:val="000000"/>
                <w:kern w:val="0"/>
                <w:sz w:val="21"/>
                <w:szCs w:val="21"/>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rPr>
            </w:pPr>
            <w:r>
              <w:rPr>
                <w:rFonts w:hint="eastAsia" w:ascii="宋体" w:hAnsi="宋体" w:eastAsia="宋体" w:cs="宋体"/>
                <w:color w:val="000000"/>
                <w:kern w:val="0"/>
                <w:sz w:val="21"/>
                <w:szCs w:val="21"/>
              </w:rPr>
              <w:t>本年新</w:t>
            </w:r>
            <w:r>
              <w:rPr>
                <w:rFonts w:hint="eastAsia" w:ascii="宋体" w:hAnsi="宋体" w:eastAsia="宋体" w:cs="宋体"/>
                <w:color w:val="000000"/>
                <w:kern w:val="0"/>
                <w:sz w:val="21"/>
                <w:szCs w:val="21"/>
              </w:rPr>
              <w:br w:type="textWrapping"/>
            </w:r>
            <w:r>
              <w:rPr>
                <w:rFonts w:hint="eastAsia" w:ascii="宋体" w:hAnsi="宋体" w:eastAsia="宋体" w:cs="宋体"/>
                <w:kern w:val="0"/>
                <w:sz w:val="21"/>
                <w:szCs w:val="21"/>
              </w:rPr>
              <w:t>制作数量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rPr>
            </w:pPr>
            <w:r>
              <w:rPr>
                <w:rFonts w:hint="eastAsia" w:ascii="宋体" w:hAnsi="宋体" w:eastAsia="宋体" w:cs="宋体"/>
                <w:color w:val="000000"/>
                <w:kern w:val="0"/>
                <w:sz w:val="21"/>
                <w:szCs w:val="21"/>
              </w:rPr>
              <w:t>本年新</w:t>
            </w:r>
            <w:r>
              <w:rPr>
                <w:rFonts w:hint="eastAsia" w:ascii="宋体" w:hAnsi="宋体" w:eastAsia="宋体" w:cs="宋体"/>
                <w:color w:val="000000"/>
                <w:kern w:val="0"/>
                <w:sz w:val="21"/>
                <w:szCs w:val="21"/>
              </w:rPr>
              <w:br w:type="textWrapping"/>
            </w:r>
            <w:r>
              <w:rPr>
                <w:rFonts w:hint="eastAsia" w:ascii="宋体" w:hAnsi="宋体" w:eastAsia="宋体" w:cs="宋体"/>
                <w:kern w:val="0"/>
                <w:sz w:val="21"/>
                <w:szCs w:val="21"/>
              </w:rPr>
              <w:t>公开数量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rPr>
            </w:pPr>
            <w:r>
              <w:rPr>
                <w:rFonts w:hint="eastAsia" w:ascii="宋体" w:hAnsi="宋体" w:eastAsia="宋体" w:cs="宋体"/>
                <w:color w:val="000000"/>
                <w:kern w:val="0"/>
                <w:sz w:val="21"/>
                <w:szCs w:val="21"/>
              </w:rPr>
              <w:t>对外公开总数量</w:t>
            </w:r>
          </w:p>
        </w:tc>
      </w:tr>
      <w:tr>
        <w:tblPrEx>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kern w:val="0"/>
                <w:sz w:val="21"/>
                <w:szCs w:val="21"/>
              </w:rPr>
            </w:pPr>
            <w:r>
              <w:rPr>
                <w:rFonts w:hint="eastAsia" w:ascii="宋体" w:hAnsi="宋体" w:eastAsia="宋体" w:cs="宋体"/>
                <w:color w:val="000000"/>
                <w:kern w:val="0"/>
                <w:sz w:val="21"/>
                <w:szCs w:val="21"/>
              </w:rPr>
              <w:t>规章</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w:t>
            </w:r>
          </w:p>
        </w:tc>
      </w:tr>
      <w:tr>
        <w:tblPrEx>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kern w:val="0"/>
                <w:sz w:val="21"/>
                <w:szCs w:val="21"/>
              </w:rPr>
            </w:pPr>
            <w:r>
              <w:rPr>
                <w:rFonts w:hint="eastAsia" w:ascii="宋体" w:hAnsi="宋体" w:eastAsia="宋体" w:cs="宋体"/>
                <w:color w:val="000000"/>
                <w:kern w:val="0"/>
                <w:sz w:val="21"/>
                <w:szCs w:val="21"/>
              </w:rPr>
              <w:t>规范性文件</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r>
      <w:tr>
        <w:tblPrEx>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rPr>
            </w:pPr>
            <w:r>
              <w:rPr>
                <w:rFonts w:hint="eastAsia" w:ascii="宋体" w:hAnsi="宋体" w:eastAsia="宋体" w:cs="宋体"/>
                <w:color w:val="000000"/>
                <w:kern w:val="0"/>
                <w:sz w:val="21"/>
                <w:szCs w:val="21"/>
              </w:rPr>
              <w:t>第二十条第（五）项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rPr>
            </w:pPr>
            <w:r>
              <w:rPr>
                <w:rFonts w:hint="eastAsia" w:ascii="宋体" w:hAnsi="宋体" w:eastAsia="宋体" w:cs="宋体"/>
                <w:color w:val="000000"/>
                <w:kern w:val="0"/>
                <w:sz w:val="21"/>
                <w:szCs w:val="21"/>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rPr>
            </w:pPr>
            <w:r>
              <w:rPr>
                <w:rFonts w:hint="eastAsia" w:ascii="宋体" w:hAnsi="宋体" w:eastAsia="宋体" w:cs="宋体"/>
                <w:color w:val="000000"/>
                <w:kern w:val="0"/>
                <w:sz w:val="21"/>
                <w:szCs w:val="21"/>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rPr>
            </w:pPr>
            <w:r>
              <w:rPr>
                <w:rFonts w:hint="eastAsia" w:ascii="宋体" w:hAnsi="宋体" w:eastAsia="宋体" w:cs="宋体"/>
                <w:color w:val="000000"/>
                <w:kern w:val="0"/>
                <w:sz w:val="21"/>
                <w:szCs w:val="21"/>
              </w:rPr>
              <w:t>本年增/减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rPr>
            </w:pPr>
            <w:r>
              <w:rPr>
                <w:rFonts w:hint="eastAsia" w:ascii="宋体" w:hAnsi="宋体" w:eastAsia="宋体" w:cs="宋体"/>
                <w:color w:val="000000"/>
                <w:kern w:val="0"/>
                <w:sz w:val="21"/>
                <w:szCs w:val="21"/>
              </w:rPr>
              <w:t>处理决定数量</w:t>
            </w:r>
          </w:p>
        </w:tc>
      </w:tr>
      <w:tr>
        <w:tblPrEx>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kern w:val="0"/>
                <w:sz w:val="21"/>
                <w:szCs w:val="21"/>
              </w:rPr>
            </w:pPr>
            <w:r>
              <w:rPr>
                <w:rFonts w:hint="eastAsia" w:ascii="宋体" w:hAnsi="宋体" w:eastAsia="宋体" w:cs="宋体"/>
                <w:color w:val="000000"/>
                <w:kern w:val="0"/>
                <w:sz w:val="21"/>
                <w:szCs w:val="21"/>
              </w:rPr>
              <w:t>行政许可</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w:t>
            </w:r>
          </w:p>
        </w:tc>
      </w:tr>
      <w:tr>
        <w:tblPrEx>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kern w:val="0"/>
                <w:sz w:val="21"/>
                <w:szCs w:val="21"/>
              </w:rPr>
            </w:pPr>
            <w:r>
              <w:rPr>
                <w:rFonts w:hint="eastAsia" w:ascii="宋体" w:hAnsi="宋体" w:eastAsia="宋体" w:cs="宋体"/>
                <w:color w:val="000000"/>
                <w:kern w:val="0"/>
                <w:sz w:val="21"/>
                <w:szCs w:val="21"/>
              </w:rPr>
              <w:t>其他对外管理服务事项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w:t>
            </w:r>
          </w:p>
        </w:tc>
      </w:tr>
      <w:tr>
        <w:tblPrEx>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rPr>
            </w:pPr>
            <w:r>
              <w:rPr>
                <w:rFonts w:hint="eastAsia" w:ascii="宋体" w:hAnsi="宋体" w:eastAsia="宋体" w:cs="宋体"/>
                <w:color w:val="000000"/>
                <w:kern w:val="0"/>
                <w:sz w:val="21"/>
                <w:szCs w:val="21"/>
              </w:rPr>
              <w:t>第二十条第（六）项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rPr>
            </w:pPr>
            <w:r>
              <w:rPr>
                <w:rFonts w:hint="eastAsia" w:ascii="宋体" w:hAnsi="宋体" w:eastAsia="宋体" w:cs="宋体"/>
                <w:color w:val="000000"/>
                <w:kern w:val="0"/>
                <w:sz w:val="21"/>
                <w:szCs w:val="21"/>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rPr>
            </w:pPr>
            <w:r>
              <w:rPr>
                <w:rFonts w:hint="eastAsia" w:ascii="宋体" w:hAnsi="宋体" w:eastAsia="宋体" w:cs="宋体"/>
                <w:color w:val="000000"/>
                <w:kern w:val="0"/>
                <w:sz w:val="21"/>
                <w:szCs w:val="21"/>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rPr>
            </w:pPr>
            <w:r>
              <w:rPr>
                <w:rFonts w:hint="eastAsia" w:ascii="宋体" w:hAnsi="宋体" w:eastAsia="宋体" w:cs="宋体"/>
                <w:color w:val="000000"/>
                <w:kern w:val="0"/>
                <w:sz w:val="21"/>
                <w:szCs w:val="21"/>
              </w:rPr>
              <w:t>本年增/减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rPr>
            </w:pPr>
            <w:r>
              <w:rPr>
                <w:rFonts w:hint="eastAsia" w:ascii="宋体" w:hAnsi="宋体" w:eastAsia="宋体" w:cs="宋体"/>
                <w:color w:val="000000"/>
                <w:kern w:val="0"/>
                <w:sz w:val="21"/>
                <w:szCs w:val="21"/>
              </w:rPr>
              <w:t>处理决定数量</w:t>
            </w:r>
          </w:p>
        </w:tc>
      </w:tr>
      <w:tr>
        <w:tblPrEx>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kern w:val="0"/>
                <w:sz w:val="21"/>
                <w:szCs w:val="21"/>
              </w:rPr>
            </w:pPr>
            <w:r>
              <w:rPr>
                <w:rFonts w:hint="eastAsia" w:ascii="宋体" w:hAnsi="宋体" w:eastAsia="宋体" w:cs="宋体"/>
                <w:color w:val="000000"/>
                <w:kern w:val="0"/>
                <w:sz w:val="21"/>
                <w:szCs w:val="21"/>
              </w:rPr>
              <w:t>行政处罚</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w:t>
            </w:r>
          </w:p>
        </w:tc>
      </w:tr>
      <w:tr>
        <w:tblPrEx>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kern w:val="0"/>
                <w:sz w:val="21"/>
                <w:szCs w:val="21"/>
              </w:rPr>
            </w:pPr>
            <w:r>
              <w:rPr>
                <w:rFonts w:hint="eastAsia" w:ascii="宋体" w:hAnsi="宋体" w:eastAsia="宋体" w:cs="宋体"/>
                <w:color w:val="000000"/>
                <w:kern w:val="0"/>
                <w:sz w:val="21"/>
                <w:szCs w:val="21"/>
              </w:rPr>
              <w:t>行政强制</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w:t>
            </w:r>
          </w:p>
        </w:tc>
      </w:tr>
      <w:tr>
        <w:tblPrEx>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rPr>
            </w:pPr>
            <w:r>
              <w:rPr>
                <w:rFonts w:hint="eastAsia" w:ascii="宋体" w:hAnsi="宋体" w:eastAsia="宋体" w:cs="宋体"/>
                <w:color w:val="000000"/>
                <w:kern w:val="0"/>
                <w:sz w:val="21"/>
                <w:szCs w:val="21"/>
              </w:rPr>
              <w:t>第二十条第（八）项</w:t>
            </w:r>
          </w:p>
        </w:tc>
      </w:tr>
      <w:tr>
        <w:tblPrEx>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rPr>
            </w:pPr>
            <w:r>
              <w:rPr>
                <w:rFonts w:hint="eastAsia" w:ascii="宋体" w:hAnsi="宋体" w:eastAsia="宋体" w:cs="宋体"/>
                <w:color w:val="000000"/>
                <w:kern w:val="0"/>
                <w:sz w:val="21"/>
                <w:szCs w:val="21"/>
              </w:rPr>
              <w:t>信息内容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kern w:val="0"/>
                <w:sz w:val="21"/>
                <w:szCs w:val="21"/>
              </w:rPr>
            </w:pPr>
            <w:r>
              <w:rPr>
                <w:rFonts w:hint="eastAsia" w:ascii="宋体" w:hAnsi="宋体" w:eastAsia="宋体" w:cs="宋体"/>
                <w:color w:val="000000"/>
                <w:kern w:val="0"/>
                <w:sz w:val="21"/>
                <w:szCs w:val="21"/>
              </w:rPr>
              <w:t>上一年项目数量</w:t>
            </w:r>
          </w:p>
        </w:tc>
        <w:tc>
          <w:tcPr>
            <w:tcW w:w="3146"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rPr>
            </w:pPr>
            <w:r>
              <w:rPr>
                <w:rFonts w:hint="eastAsia" w:ascii="宋体" w:hAnsi="宋体" w:eastAsia="宋体" w:cs="宋体"/>
                <w:color w:val="000000"/>
                <w:kern w:val="0"/>
                <w:sz w:val="21"/>
                <w:szCs w:val="21"/>
              </w:rPr>
              <w:t>本年增/减</w:t>
            </w:r>
          </w:p>
        </w:tc>
      </w:tr>
      <w:tr>
        <w:tblPrEx>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kern w:val="0"/>
                <w:sz w:val="21"/>
                <w:szCs w:val="21"/>
              </w:rPr>
            </w:pPr>
            <w:r>
              <w:rPr>
                <w:rFonts w:hint="eastAsia" w:ascii="宋体" w:hAnsi="宋体" w:eastAsia="宋体" w:cs="宋体"/>
                <w:color w:val="000000"/>
                <w:kern w:val="0"/>
                <w:sz w:val="21"/>
                <w:szCs w:val="21"/>
              </w:rPr>
              <w:t>行政事业性收费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w:t>
            </w:r>
          </w:p>
        </w:tc>
        <w:tc>
          <w:tcPr>
            <w:tcW w:w="3146"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w:t>
            </w:r>
          </w:p>
        </w:tc>
      </w:tr>
      <w:tr>
        <w:tblPrEx>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rPr>
            </w:pPr>
            <w:r>
              <w:rPr>
                <w:rFonts w:hint="eastAsia" w:ascii="宋体" w:hAnsi="宋体" w:eastAsia="宋体" w:cs="宋体"/>
                <w:color w:val="000000"/>
                <w:kern w:val="0"/>
                <w:sz w:val="21"/>
                <w:szCs w:val="21"/>
              </w:rPr>
              <w:t>第二十条第（九）项</w:t>
            </w:r>
          </w:p>
        </w:tc>
      </w:tr>
      <w:tr>
        <w:tblPrEx>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rPr>
            </w:pPr>
            <w:r>
              <w:rPr>
                <w:rFonts w:hint="eastAsia" w:ascii="宋体" w:hAnsi="宋体" w:eastAsia="宋体" w:cs="宋体"/>
                <w:color w:val="000000"/>
                <w:kern w:val="0"/>
                <w:sz w:val="21"/>
                <w:szCs w:val="21"/>
              </w:rPr>
              <w:t>信息内容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rPr>
            </w:pPr>
            <w:r>
              <w:rPr>
                <w:rFonts w:hint="eastAsia" w:ascii="宋体" w:hAnsi="宋体" w:eastAsia="宋体" w:cs="宋体"/>
                <w:color w:val="000000"/>
                <w:kern w:val="0"/>
                <w:sz w:val="21"/>
                <w:szCs w:val="21"/>
              </w:rPr>
              <w:t>采购项目数量</w:t>
            </w:r>
          </w:p>
        </w:tc>
        <w:tc>
          <w:tcPr>
            <w:tcW w:w="3146"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rPr>
            </w:pPr>
            <w:r>
              <w:rPr>
                <w:rFonts w:hint="eastAsia" w:ascii="宋体" w:hAnsi="宋体" w:eastAsia="宋体" w:cs="宋体"/>
                <w:color w:val="000000"/>
                <w:kern w:val="0"/>
                <w:sz w:val="21"/>
                <w:szCs w:val="21"/>
              </w:rPr>
              <w:t>采购总金额</w:t>
            </w:r>
          </w:p>
        </w:tc>
      </w:tr>
      <w:tr>
        <w:tblPrEx>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kern w:val="0"/>
                <w:sz w:val="21"/>
                <w:szCs w:val="21"/>
              </w:rPr>
            </w:pPr>
            <w:r>
              <w:rPr>
                <w:rFonts w:hint="eastAsia" w:ascii="宋体" w:hAnsi="宋体" w:eastAsia="宋体" w:cs="宋体"/>
                <w:color w:val="000000"/>
                <w:kern w:val="0"/>
                <w:sz w:val="21"/>
                <w:szCs w:val="21"/>
              </w:rPr>
              <w:t>政府集中采购</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8</w:t>
            </w:r>
          </w:p>
        </w:tc>
        <w:tc>
          <w:tcPr>
            <w:tcW w:w="3146"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lang w:val="en-US"/>
              </w:rPr>
            </w:pPr>
            <w:r>
              <w:rPr>
                <w:rFonts w:hint="eastAsia" w:ascii="宋体" w:hAnsi="宋体" w:eastAsia="宋体" w:cs="宋体"/>
                <w:color w:val="auto"/>
                <w:kern w:val="0"/>
                <w:sz w:val="21"/>
                <w:szCs w:val="21"/>
                <w:lang w:val="en-US" w:eastAsia="zh-CN"/>
              </w:rPr>
              <w:t>33494元</w:t>
            </w:r>
          </w:p>
        </w:tc>
      </w:tr>
    </w:tbl>
    <w:p>
      <w:pPr>
        <w:widowControl/>
        <w:shd w:val="clear" w:color="auto" w:fill="FFFFFF"/>
        <w:spacing w:line="560" w:lineRule="exact"/>
        <w:ind w:firstLine="480"/>
        <w:rPr>
          <w:rFonts w:hint="eastAsia" w:ascii="宋体" w:hAnsi="宋体" w:eastAsia="仿宋_GB2312" w:cs="宋体"/>
          <w:color w:val="333333"/>
          <w:kern w:val="0"/>
          <w:sz w:val="24"/>
          <w:szCs w:val="20"/>
        </w:rPr>
      </w:pPr>
    </w:p>
    <w:p>
      <w:pPr>
        <w:widowControl/>
        <w:shd w:val="clear" w:color="auto" w:fill="FFFFFF"/>
        <w:spacing w:after="240" w:line="560" w:lineRule="exact"/>
        <w:ind w:firstLine="480"/>
        <w:rPr>
          <w:rFonts w:hint="eastAsia" w:ascii="宋体" w:hAnsi="宋体" w:eastAsia="仿宋_GB2312" w:cs="宋体"/>
          <w:color w:val="333333"/>
          <w:kern w:val="0"/>
          <w:sz w:val="24"/>
          <w:szCs w:val="20"/>
        </w:rPr>
      </w:pPr>
      <w:r>
        <w:rPr>
          <w:rFonts w:hint="eastAsia" w:ascii="黑体" w:hAnsi="黑体" w:eastAsia="黑体" w:cs="黑体"/>
          <w:b/>
          <w:bCs/>
          <w:color w:val="333333"/>
          <w:kern w:val="0"/>
          <w:sz w:val="32"/>
          <w:szCs w:val="22"/>
        </w:rPr>
        <w:t>三、收到和处理政府信息公开申请情况</w:t>
      </w:r>
    </w:p>
    <w:tbl>
      <w:tblPr>
        <w:tblStyle w:val="4"/>
        <w:tblW w:w="9071" w:type="dxa"/>
        <w:jc w:val="center"/>
        <w:tblLayout w:type="autofit"/>
        <w:tblCellMar>
          <w:top w:w="0" w:type="dxa"/>
          <w:left w:w="0" w:type="dxa"/>
          <w:bottom w:w="0" w:type="dxa"/>
          <w:right w:w="0" w:type="dxa"/>
        </w:tblCellMar>
      </w:tblPr>
      <w:tblGrid>
        <w:gridCol w:w="636"/>
        <w:gridCol w:w="854"/>
        <w:gridCol w:w="2079"/>
        <w:gridCol w:w="811"/>
        <w:gridCol w:w="753"/>
        <w:gridCol w:w="753"/>
        <w:gridCol w:w="811"/>
        <w:gridCol w:w="970"/>
        <w:gridCol w:w="710"/>
        <w:gridCol w:w="694"/>
      </w:tblGrid>
      <w:tr>
        <w:tblPrEx>
          <w:tblCellMar>
            <w:top w:w="0" w:type="dxa"/>
            <w:left w:w="0" w:type="dxa"/>
            <w:bottom w:w="0" w:type="dxa"/>
            <w:right w:w="0" w:type="dxa"/>
          </w:tblCellMar>
        </w:tblPrEx>
        <w:trPr>
          <w:jc w:val="center"/>
        </w:trPr>
        <w:tc>
          <w:tcPr>
            <w:tcW w:w="3556"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（本列数据的勾稽关系为：第一项加第二项之和，等于第三项加第四项之和）</w:t>
            </w:r>
          </w:p>
        </w:tc>
        <w:tc>
          <w:tcPr>
            <w:tcW w:w="5515"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申请人情况</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kern w:val="0"/>
                <w:sz w:val="21"/>
                <w:szCs w:val="21"/>
              </w:rPr>
            </w:pPr>
          </w:p>
        </w:tc>
        <w:tc>
          <w:tcPr>
            <w:tcW w:w="813"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自然人</w:t>
            </w:r>
          </w:p>
        </w:tc>
        <w:tc>
          <w:tcPr>
            <w:tcW w:w="400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法人或其他组织</w:t>
            </w:r>
          </w:p>
        </w:tc>
        <w:tc>
          <w:tcPr>
            <w:tcW w:w="695"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总计</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kern w:val="0"/>
                <w:sz w:val="21"/>
                <w:szCs w:val="21"/>
              </w:rPr>
            </w:pPr>
          </w:p>
        </w:tc>
        <w:tc>
          <w:tcPr>
            <w:tcW w:w="0" w:type="auto"/>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kern w:val="0"/>
                <w:sz w:val="21"/>
                <w:szCs w:val="21"/>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商业企业</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科研机构</w:t>
            </w:r>
          </w:p>
        </w:tc>
        <w:tc>
          <w:tcPr>
            <w:tcW w:w="81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社会公益组织</w:t>
            </w:r>
          </w:p>
        </w:tc>
        <w:tc>
          <w:tcPr>
            <w:tcW w:w="97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法律服务机构</w:t>
            </w:r>
          </w:p>
        </w:tc>
        <w:tc>
          <w:tcPr>
            <w:tcW w:w="71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其他</w:t>
            </w:r>
          </w:p>
        </w:tc>
        <w:tc>
          <w:tcPr>
            <w:tcW w:w="0" w:type="auto"/>
            <w:vMerge w:val="continue"/>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kern w:val="0"/>
                <w:sz w:val="21"/>
                <w:szCs w:val="21"/>
              </w:rPr>
            </w:pPr>
          </w:p>
        </w:tc>
      </w:tr>
      <w:tr>
        <w:tblPrEx>
          <w:tblCellMar>
            <w:top w:w="0" w:type="dxa"/>
            <w:left w:w="0" w:type="dxa"/>
            <w:bottom w:w="0" w:type="dxa"/>
            <w:right w:w="0" w:type="dxa"/>
          </w:tblCellMar>
        </w:tblPrEx>
        <w:trPr>
          <w:jc w:val="center"/>
        </w:trPr>
        <w:tc>
          <w:tcPr>
            <w:tcW w:w="3556"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一、本年新收政府信息公开申请数量</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w:t>
            </w:r>
          </w:p>
        </w:tc>
      </w:tr>
      <w:tr>
        <w:tblPrEx>
          <w:tblCellMar>
            <w:top w:w="0" w:type="dxa"/>
            <w:left w:w="0" w:type="dxa"/>
            <w:bottom w:w="0" w:type="dxa"/>
            <w:right w:w="0" w:type="dxa"/>
          </w:tblCellMar>
        </w:tblPrEx>
        <w:trPr>
          <w:jc w:val="center"/>
        </w:trPr>
        <w:tc>
          <w:tcPr>
            <w:tcW w:w="3556"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二、上年结转政府信息公开申请数量</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r>
      <w:tr>
        <w:tblPrEx>
          <w:tblCellMar>
            <w:top w:w="0" w:type="dxa"/>
            <w:left w:w="0" w:type="dxa"/>
            <w:bottom w:w="0" w:type="dxa"/>
            <w:right w:w="0" w:type="dxa"/>
          </w:tblCellMar>
        </w:tblPrEx>
        <w:trPr>
          <w:jc w:val="center"/>
        </w:trPr>
        <w:tc>
          <w:tcPr>
            <w:tcW w:w="616"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三、本年度办理结果</w:t>
            </w: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（一）予以公开</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69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kern w:val="0"/>
                <w:sz w:val="21"/>
                <w:szCs w:val="21"/>
              </w:rPr>
            </w:pP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（二）部分公开（区分处理的，只计这一情形，不计其他情形）</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kern w:val="0"/>
                <w:sz w:val="21"/>
                <w:szCs w:val="21"/>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（三）不予公开</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1.属于国家秘密</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69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kern w:val="0"/>
                <w:sz w:val="21"/>
                <w:szCs w:val="21"/>
              </w:rPr>
            </w:pPr>
          </w:p>
        </w:tc>
        <w:tc>
          <w:tcPr>
            <w:tcW w:w="0" w:type="auto"/>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kern w:val="0"/>
                <w:sz w:val="21"/>
                <w:szCs w:val="21"/>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2.其他法律行政法规禁止公开</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kern w:val="0"/>
                <w:sz w:val="21"/>
                <w:szCs w:val="21"/>
              </w:rPr>
            </w:pPr>
          </w:p>
        </w:tc>
        <w:tc>
          <w:tcPr>
            <w:tcW w:w="0" w:type="auto"/>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kern w:val="0"/>
                <w:sz w:val="21"/>
                <w:szCs w:val="21"/>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3.危及“三安全一稳定”</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kern w:val="0"/>
                <w:sz w:val="21"/>
                <w:szCs w:val="21"/>
              </w:rPr>
            </w:pPr>
          </w:p>
        </w:tc>
        <w:tc>
          <w:tcPr>
            <w:tcW w:w="0" w:type="auto"/>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kern w:val="0"/>
                <w:sz w:val="21"/>
                <w:szCs w:val="21"/>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4.保护第三方合法权益</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kern w:val="0"/>
                <w:sz w:val="21"/>
                <w:szCs w:val="21"/>
              </w:rPr>
            </w:pPr>
          </w:p>
        </w:tc>
        <w:tc>
          <w:tcPr>
            <w:tcW w:w="0" w:type="auto"/>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kern w:val="0"/>
                <w:sz w:val="21"/>
                <w:szCs w:val="21"/>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5.属于三类内部事务信息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kern w:val="0"/>
                <w:sz w:val="21"/>
                <w:szCs w:val="21"/>
              </w:rPr>
            </w:pPr>
          </w:p>
        </w:tc>
        <w:tc>
          <w:tcPr>
            <w:tcW w:w="0" w:type="auto"/>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kern w:val="0"/>
                <w:sz w:val="21"/>
                <w:szCs w:val="21"/>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6.属于四类过程性信息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kern w:val="0"/>
                <w:sz w:val="21"/>
                <w:szCs w:val="21"/>
              </w:rPr>
            </w:pPr>
          </w:p>
        </w:tc>
        <w:tc>
          <w:tcPr>
            <w:tcW w:w="0" w:type="auto"/>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kern w:val="0"/>
                <w:sz w:val="21"/>
                <w:szCs w:val="21"/>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7.属于行政执法案卷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kern w:val="0"/>
                <w:sz w:val="21"/>
                <w:szCs w:val="21"/>
              </w:rPr>
            </w:pPr>
          </w:p>
        </w:tc>
        <w:tc>
          <w:tcPr>
            <w:tcW w:w="0" w:type="auto"/>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kern w:val="0"/>
                <w:sz w:val="21"/>
                <w:szCs w:val="21"/>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8.属于行政查询事项</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kern w:val="0"/>
                <w:sz w:val="21"/>
                <w:szCs w:val="21"/>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（四）无法提供</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1.本机关不掌握相关政府信息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kern w:val="0"/>
                <w:sz w:val="21"/>
                <w:szCs w:val="21"/>
              </w:rPr>
            </w:pPr>
          </w:p>
        </w:tc>
        <w:tc>
          <w:tcPr>
            <w:tcW w:w="0" w:type="auto"/>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kern w:val="0"/>
                <w:sz w:val="21"/>
                <w:szCs w:val="21"/>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2.没有现成信息需要另行制作</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kern w:val="0"/>
                <w:sz w:val="21"/>
                <w:szCs w:val="21"/>
              </w:rPr>
            </w:pPr>
          </w:p>
        </w:tc>
        <w:tc>
          <w:tcPr>
            <w:tcW w:w="0" w:type="auto"/>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kern w:val="0"/>
                <w:sz w:val="21"/>
                <w:szCs w:val="21"/>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3.补正后申请内容仍不明确</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kern w:val="0"/>
                <w:sz w:val="21"/>
                <w:szCs w:val="21"/>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（五）不予处理</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1.信访举报投诉类申请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kern w:val="0"/>
                <w:sz w:val="21"/>
                <w:szCs w:val="21"/>
              </w:rPr>
            </w:pPr>
          </w:p>
        </w:tc>
        <w:tc>
          <w:tcPr>
            <w:tcW w:w="0" w:type="auto"/>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kern w:val="0"/>
                <w:sz w:val="21"/>
                <w:szCs w:val="21"/>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2.重复申请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kern w:val="0"/>
                <w:sz w:val="21"/>
                <w:szCs w:val="21"/>
              </w:rPr>
            </w:pPr>
          </w:p>
        </w:tc>
        <w:tc>
          <w:tcPr>
            <w:tcW w:w="0" w:type="auto"/>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kern w:val="0"/>
                <w:sz w:val="21"/>
                <w:szCs w:val="21"/>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3.要求提供公开出版物</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kern w:val="0"/>
                <w:sz w:val="21"/>
                <w:szCs w:val="21"/>
              </w:rPr>
            </w:pPr>
          </w:p>
        </w:tc>
        <w:tc>
          <w:tcPr>
            <w:tcW w:w="0" w:type="auto"/>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kern w:val="0"/>
                <w:sz w:val="21"/>
                <w:szCs w:val="21"/>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4.无正当理由大量反复申请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kern w:val="0"/>
                <w:sz w:val="21"/>
                <w:szCs w:val="21"/>
              </w:rPr>
            </w:pPr>
          </w:p>
        </w:tc>
        <w:tc>
          <w:tcPr>
            <w:tcW w:w="0" w:type="auto"/>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kern w:val="0"/>
                <w:sz w:val="21"/>
                <w:szCs w:val="21"/>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5.要求行政机关确认或重新出具已获取信息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kern w:val="0"/>
                <w:sz w:val="21"/>
                <w:szCs w:val="21"/>
              </w:rPr>
            </w:pP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（六）其他处理</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kern w:val="0"/>
                <w:sz w:val="21"/>
                <w:szCs w:val="21"/>
              </w:rPr>
            </w:pP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（七）总计</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r>
      <w:tr>
        <w:tblPrEx>
          <w:tblCellMar>
            <w:top w:w="0" w:type="dxa"/>
            <w:left w:w="0" w:type="dxa"/>
            <w:bottom w:w="0" w:type="dxa"/>
            <w:right w:w="0" w:type="dxa"/>
          </w:tblCellMar>
        </w:tblPrEx>
        <w:trPr>
          <w:jc w:val="center"/>
        </w:trPr>
        <w:tc>
          <w:tcPr>
            <w:tcW w:w="3556"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四、结转下年度继续办理</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0</w:t>
            </w:r>
          </w:p>
        </w:tc>
      </w:tr>
    </w:tbl>
    <w:p>
      <w:pPr>
        <w:widowControl/>
        <w:shd w:val="clear" w:color="auto" w:fill="FFFFFF"/>
        <w:spacing w:line="560" w:lineRule="exact"/>
        <w:rPr>
          <w:rFonts w:hint="eastAsia" w:ascii="宋体" w:hAnsi="宋体" w:eastAsia="仿宋_GB2312" w:cs="宋体"/>
          <w:color w:val="333333"/>
          <w:kern w:val="0"/>
          <w:sz w:val="24"/>
          <w:szCs w:val="20"/>
        </w:rPr>
      </w:pPr>
    </w:p>
    <w:p>
      <w:pPr>
        <w:widowControl/>
        <w:shd w:val="clear" w:color="auto" w:fill="FFFFFF"/>
        <w:spacing w:line="560" w:lineRule="exact"/>
        <w:ind w:firstLine="480"/>
        <w:rPr>
          <w:rFonts w:hint="eastAsia" w:ascii="黑体" w:hAnsi="黑体" w:eastAsia="黑体" w:cs="黑体"/>
          <w:color w:val="333333"/>
          <w:kern w:val="0"/>
          <w:sz w:val="32"/>
          <w:szCs w:val="32"/>
        </w:rPr>
      </w:pPr>
      <w:r>
        <w:rPr>
          <w:rFonts w:hint="eastAsia" w:ascii="黑体" w:hAnsi="黑体" w:eastAsia="黑体" w:cs="黑体"/>
          <w:b/>
          <w:bCs/>
          <w:color w:val="333333"/>
          <w:kern w:val="0"/>
          <w:sz w:val="32"/>
          <w:szCs w:val="32"/>
        </w:rPr>
        <w:t>四、政府信息公开行政复议、行政诉讼情况</w:t>
      </w:r>
    </w:p>
    <w:tbl>
      <w:tblPr>
        <w:tblStyle w:val="4"/>
        <w:tblW w:w="9071" w:type="dxa"/>
        <w:jc w:val="center"/>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行政诉讼</w:t>
            </w:r>
          </w:p>
        </w:tc>
      </w:tr>
      <w:tr>
        <w:tblPrEx>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kern w:val="0"/>
                <w:sz w:val="21"/>
                <w:szCs w:val="21"/>
              </w:rPr>
            </w:pPr>
          </w:p>
        </w:tc>
        <w:tc>
          <w:tcPr>
            <w:tcW w:w="0" w:type="auto"/>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kern w:val="0"/>
                <w:sz w:val="21"/>
                <w:szCs w:val="21"/>
              </w:rPr>
            </w:pPr>
          </w:p>
        </w:tc>
        <w:tc>
          <w:tcPr>
            <w:tcW w:w="0" w:type="auto"/>
            <w:vMerge w:val="continue"/>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kern w:val="0"/>
                <w:sz w:val="21"/>
                <w:szCs w:val="21"/>
              </w:rPr>
            </w:pPr>
          </w:p>
        </w:tc>
        <w:tc>
          <w:tcPr>
            <w:tcW w:w="0" w:type="auto"/>
            <w:vMerge w:val="continue"/>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kern w:val="0"/>
                <w:sz w:val="21"/>
                <w:szCs w:val="21"/>
              </w:rPr>
            </w:pPr>
          </w:p>
        </w:tc>
        <w:tc>
          <w:tcPr>
            <w:tcW w:w="0" w:type="auto"/>
            <w:vMerge w:val="continue"/>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kern w:val="0"/>
                <w:sz w:val="21"/>
                <w:szCs w:val="21"/>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rPr>
            </w:pPr>
            <w:r>
              <w:rPr>
                <w:rFonts w:hint="eastAsia" w:ascii="宋体" w:hAnsi="宋体" w:eastAsia="宋体" w:cs="宋体"/>
                <w:color w:val="000000"/>
                <w:kern w:val="0"/>
                <w:sz w:val="21"/>
                <w:szCs w:val="21"/>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rPr>
            </w:pPr>
            <w:r>
              <w:rPr>
                <w:rFonts w:hint="eastAsia" w:ascii="宋体" w:hAnsi="宋体" w:eastAsia="宋体" w:cs="宋体"/>
                <w:color w:val="000000"/>
                <w:kern w:val="0"/>
                <w:sz w:val="21"/>
                <w:szCs w:val="21"/>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rPr>
            </w:pPr>
            <w:r>
              <w:rPr>
                <w:rFonts w:hint="eastAsia" w:ascii="宋体" w:hAnsi="宋体" w:eastAsia="宋体" w:cs="宋体"/>
                <w:color w:val="000000"/>
                <w:kern w:val="0"/>
                <w:sz w:val="21"/>
                <w:szCs w:val="21"/>
              </w:rPr>
              <w:t>总计</w:t>
            </w:r>
          </w:p>
        </w:tc>
      </w:tr>
      <w:tr>
        <w:tblPrEx>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0</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0</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0</w:t>
            </w:r>
          </w:p>
        </w:tc>
      </w:tr>
    </w:tbl>
    <w:p>
      <w:pPr>
        <w:widowControl/>
        <w:shd w:val="clear" w:color="auto" w:fill="FFFFFF"/>
        <w:spacing w:line="560" w:lineRule="exact"/>
        <w:jc w:val="center"/>
        <w:rPr>
          <w:rFonts w:hint="eastAsia" w:ascii="宋体" w:hAnsi="宋体" w:eastAsia="仿宋_GB2312" w:cs="宋体"/>
          <w:color w:val="333333"/>
          <w:kern w:val="0"/>
          <w:sz w:val="24"/>
          <w:szCs w:val="20"/>
        </w:rPr>
      </w:pPr>
    </w:p>
    <w:p>
      <w:pPr>
        <w:widowControl/>
        <w:shd w:val="clear" w:color="auto" w:fill="FFFFFF"/>
        <w:spacing w:line="560" w:lineRule="exact"/>
        <w:ind w:firstLine="480"/>
        <w:rPr>
          <w:rFonts w:hint="eastAsia" w:ascii="黑体" w:hAnsi="黑体" w:eastAsia="黑体" w:cs="黑体"/>
          <w:b/>
          <w:bCs/>
          <w:color w:val="333333"/>
          <w:kern w:val="0"/>
          <w:sz w:val="32"/>
          <w:szCs w:val="32"/>
        </w:rPr>
      </w:pPr>
      <w:r>
        <w:rPr>
          <w:rFonts w:hint="eastAsia" w:ascii="黑体" w:hAnsi="黑体" w:eastAsia="黑体" w:cs="黑体"/>
          <w:b/>
          <w:bCs/>
          <w:color w:val="333333"/>
          <w:kern w:val="0"/>
          <w:sz w:val="32"/>
          <w:szCs w:val="32"/>
        </w:rPr>
        <w:t>五、存在的主要问题及改进情况</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2"/>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目前发布的信息多数是气象服务信息，信息内容不够均衡。</w:t>
      </w:r>
      <w:r>
        <w:rPr>
          <w:rFonts w:hint="eastAsia" w:ascii="仿宋" w:hAnsi="仿宋" w:eastAsia="仿宋" w:cs="仿宋"/>
          <w:color w:val="333333"/>
          <w:kern w:val="0"/>
          <w:sz w:val="32"/>
          <w:szCs w:val="32"/>
          <w:lang w:val="en-US" w:eastAsia="zh-CN"/>
        </w:rPr>
        <w:t>今后</w:t>
      </w:r>
      <w:r>
        <w:rPr>
          <w:rFonts w:hint="eastAsia" w:ascii="仿宋" w:hAnsi="仿宋" w:eastAsia="仿宋" w:cs="仿宋"/>
          <w:color w:val="333333"/>
          <w:kern w:val="0"/>
          <w:sz w:val="32"/>
          <w:szCs w:val="32"/>
        </w:rPr>
        <w:t>要进一步加大信息公开工作力度，提高时效性，努力把我局政府信息公开工作做得更好，能更好地服务于公众，推进政务的公开、公正、透明。进一步办好凤阳气象微博、微信，提高民众的认知度和认可度，为群众提供便捷的气象信息服务。要及时、准确公布政务信息，保证政府信息数量和质量；向其他政府信息工作成绩显著的职能部门学习，不断提高信息服务工作水平。</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2"/>
        <w:textAlignment w:val="auto"/>
        <w:rPr>
          <w:rFonts w:hint="eastAsia" w:ascii="宋体" w:hAnsi="宋体" w:eastAsia="仿宋_GB2312" w:cs="宋体"/>
          <w:color w:val="333333"/>
          <w:kern w:val="0"/>
          <w:sz w:val="24"/>
          <w:szCs w:val="20"/>
        </w:rPr>
      </w:pPr>
      <w:r>
        <w:rPr>
          <w:rFonts w:hint="eastAsia" w:ascii="仿宋" w:hAnsi="仿宋" w:eastAsia="仿宋" w:cs="仿宋"/>
          <w:color w:val="333333"/>
          <w:kern w:val="0"/>
          <w:sz w:val="32"/>
          <w:szCs w:val="32"/>
          <w:lang w:val="en-US" w:eastAsia="zh-CN"/>
        </w:rPr>
        <w:t>2021年，我局</w:t>
      </w:r>
      <w:r>
        <w:rPr>
          <w:rFonts w:hint="eastAsia" w:ascii="仿宋" w:hAnsi="仿宋" w:eastAsia="仿宋" w:cs="仿宋"/>
          <w:color w:val="333333"/>
          <w:kern w:val="0"/>
          <w:sz w:val="32"/>
          <w:szCs w:val="32"/>
        </w:rPr>
        <w:t>将进一步加强培训，提高认识，不断提高政府信息公开工作效率和质量，力争在信息公开的时效性、规范化、制度化、程序化等方面取得新进展，为防灾减灾、服务经济社会发展和人民福祉安康作出更大贡献。</w:t>
      </w:r>
    </w:p>
    <w:p>
      <w:pPr>
        <w:widowControl/>
        <w:shd w:val="clear" w:color="auto" w:fill="FFFFFF"/>
        <w:spacing w:line="560" w:lineRule="exact"/>
        <w:ind w:firstLine="480"/>
        <w:rPr>
          <w:rFonts w:hint="eastAsia" w:ascii="黑体" w:hAnsi="黑体" w:eastAsia="黑体" w:cs="黑体"/>
          <w:color w:val="333333"/>
          <w:kern w:val="0"/>
          <w:sz w:val="32"/>
          <w:szCs w:val="22"/>
        </w:rPr>
      </w:pPr>
      <w:r>
        <w:rPr>
          <w:rFonts w:hint="eastAsia" w:ascii="黑体" w:hAnsi="黑体" w:eastAsia="黑体" w:cs="黑体"/>
          <w:b/>
          <w:bCs/>
          <w:color w:val="333333"/>
          <w:kern w:val="0"/>
          <w:sz w:val="32"/>
          <w:szCs w:val="22"/>
        </w:rPr>
        <w:t>六、其他需要报告的事项</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2"/>
        <w:textAlignment w:val="auto"/>
        <w:rPr>
          <w:rFonts w:hint="eastAsia" w:ascii="仿宋" w:hAnsi="仿宋" w:eastAsia="仿宋" w:cs="仿宋"/>
          <w:color w:val="333333"/>
          <w:kern w:val="0"/>
          <w:sz w:val="32"/>
          <w:szCs w:val="32"/>
          <w:lang w:val="en-US" w:eastAsia="zh-CN"/>
        </w:rPr>
      </w:pPr>
      <w:r>
        <w:rPr>
          <w:rFonts w:hint="eastAsia" w:ascii="仿宋" w:hAnsi="仿宋" w:eastAsia="仿宋" w:cs="仿宋"/>
          <w:color w:val="333333"/>
          <w:kern w:val="0"/>
          <w:sz w:val="32"/>
          <w:szCs w:val="32"/>
          <w:lang w:val="en-US" w:eastAsia="zh-CN"/>
        </w:rPr>
        <w:t>我局还在“中国凤阳”微博“凤阳天气”话题、“凤阳气象”微信公众号、“凤阳天气”政务头条号、微信和qq工作群等发布预警预报信息，扩大气象信息发布的覆盖面，提升全县气象防灾减灾能力。</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2"/>
        <w:textAlignment w:val="auto"/>
        <w:rPr>
          <w:rFonts w:hint="eastAsia" w:ascii="仿宋" w:hAnsi="仿宋" w:eastAsia="仿宋" w:cs="仿宋"/>
          <w:color w:val="333333"/>
          <w:kern w:val="0"/>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333333"/>
          <w:kern w:val="0"/>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2"/>
        <w:jc w:val="right"/>
        <w:textAlignment w:val="auto"/>
        <w:rPr>
          <w:rFonts w:hint="eastAsia" w:ascii="仿宋" w:hAnsi="仿宋" w:eastAsia="仿宋" w:cs="仿宋"/>
          <w:color w:val="333333"/>
          <w:kern w:val="0"/>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2"/>
        <w:jc w:val="right"/>
        <w:textAlignment w:val="auto"/>
        <w:rPr>
          <w:rFonts w:hint="eastAsia" w:ascii="仿宋" w:hAnsi="仿宋" w:eastAsia="仿宋" w:cs="仿宋"/>
          <w:color w:val="333333"/>
          <w:kern w:val="0"/>
          <w:sz w:val="32"/>
          <w:szCs w:val="32"/>
          <w:lang w:val="en-US" w:eastAsia="zh-CN"/>
        </w:rPr>
      </w:pPr>
      <w:r>
        <w:rPr>
          <w:rFonts w:hint="eastAsia" w:ascii="仿宋" w:hAnsi="仿宋" w:eastAsia="仿宋" w:cs="仿宋"/>
          <w:color w:val="333333"/>
          <w:kern w:val="0"/>
          <w:sz w:val="32"/>
          <w:szCs w:val="32"/>
          <w:lang w:val="en-US" w:eastAsia="zh-CN"/>
        </w:rPr>
        <w:t>凤阳县气象局</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2"/>
        <w:jc w:val="right"/>
        <w:textAlignment w:val="auto"/>
        <w:rPr>
          <w:rFonts w:hint="eastAsia" w:ascii="仿宋" w:hAnsi="仿宋" w:eastAsia="仿宋" w:cs="仿宋"/>
          <w:color w:val="333333"/>
          <w:kern w:val="0"/>
          <w:sz w:val="32"/>
          <w:szCs w:val="32"/>
          <w:lang w:val="en-US" w:eastAsia="zh-CN"/>
        </w:rPr>
      </w:pPr>
      <w:r>
        <w:rPr>
          <w:rFonts w:hint="eastAsia" w:ascii="仿宋" w:hAnsi="仿宋" w:eastAsia="仿宋" w:cs="仿宋"/>
          <w:color w:val="333333"/>
          <w:kern w:val="0"/>
          <w:sz w:val="32"/>
          <w:szCs w:val="32"/>
          <w:lang w:val="en-US" w:eastAsia="zh-CN"/>
        </w:rPr>
        <w:t>2021年1月6日</w:t>
      </w:r>
    </w:p>
    <w:p>
      <w:pPr>
        <w:widowControl/>
        <w:shd w:val="clear" w:color="auto" w:fill="FFFFFF"/>
        <w:spacing w:line="560" w:lineRule="exact"/>
        <w:ind w:firstLine="480"/>
        <w:jc w:val="right"/>
        <w:rPr>
          <w:rFonts w:hint="eastAsia" w:ascii="宋体" w:hAnsi="宋体" w:eastAsia="仿宋_GB2312" w:cs="宋体"/>
          <w:color w:val="333333"/>
          <w:kern w:val="0"/>
          <w:sz w:val="24"/>
          <w:szCs w:val="20"/>
          <w:lang w:val="en-US" w:eastAsia="zh-CN"/>
        </w:rPr>
      </w:pPr>
    </w:p>
    <w:p>
      <w:pPr>
        <w:widowControl/>
        <w:shd w:val="clear" w:color="auto" w:fill="FFFFFF"/>
        <w:spacing w:line="560" w:lineRule="exact"/>
        <w:ind w:firstLine="480"/>
        <w:jc w:val="right"/>
        <w:rPr>
          <w:rFonts w:hint="default" w:ascii="宋体" w:hAnsi="宋体" w:eastAsia="仿宋_GB2312" w:cs="宋体"/>
          <w:color w:val="333333"/>
          <w:kern w:val="0"/>
          <w:sz w:val="24"/>
          <w:szCs w:val="20"/>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2D5AB7"/>
    <w:rsid w:val="00B520D6"/>
    <w:rsid w:val="02427E8B"/>
    <w:rsid w:val="0530724E"/>
    <w:rsid w:val="063103E2"/>
    <w:rsid w:val="0718125E"/>
    <w:rsid w:val="0BA7081F"/>
    <w:rsid w:val="0C7573A8"/>
    <w:rsid w:val="0DA4313F"/>
    <w:rsid w:val="120F5B96"/>
    <w:rsid w:val="17957A2E"/>
    <w:rsid w:val="1A0B16D7"/>
    <w:rsid w:val="1C6E4A29"/>
    <w:rsid w:val="1D26173F"/>
    <w:rsid w:val="1D7F405F"/>
    <w:rsid w:val="258C1C6F"/>
    <w:rsid w:val="28634554"/>
    <w:rsid w:val="2AB90EFB"/>
    <w:rsid w:val="2B797063"/>
    <w:rsid w:val="2DF63090"/>
    <w:rsid w:val="306A4812"/>
    <w:rsid w:val="30C85D36"/>
    <w:rsid w:val="34753B5D"/>
    <w:rsid w:val="363852FC"/>
    <w:rsid w:val="38604D9D"/>
    <w:rsid w:val="387B5A22"/>
    <w:rsid w:val="38FB1D83"/>
    <w:rsid w:val="39E40507"/>
    <w:rsid w:val="3B456E9E"/>
    <w:rsid w:val="3BF17080"/>
    <w:rsid w:val="3E5D5544"/>
    <w:rsid w:val="41C06A25"/>
    <w:rsid w:val="439636E1"/>
    <w:rsid w:val="45E37360"/>
    <w:rsid w:val="45F339FD"/>
    <w:rsid w:val="4D197A86"/>
    <w:rsid w:val="4E05604B"/>
    <w:rsid w:val="4E8B767E"/>
    <w:rsid w:val="4F2D6635"/>
    <w:rsid w:val="524C34FB"/>
    <w:rsid w:val="53F87D9D"/>
    <w:rsid w:val="57C068FC"/>
    <w:rsid w:val="580818D1"/>
    <w:rsid w:val="59B74C07"/>
    <w:rsid w:val="5AD55DB2"/>
    <w:rsid w:val="5AD6682C"/>
    <w:rsid w:val="5BD45E7D"/>
    <w:rsid w:val="5BF552C7"/>
    <w:rsid w:val="5CB01DBE"/>
    <w:rsid w:val="604C795A"/>
    <w:rsid w:val="60AF56E5"/>
    <w:rsid w:val="610D7FCA"/>
    <w:rsid w:val="692D5AB7"/>
    <w:rsid w:val="69E57171"/>
    <w:rsid w:val="6AF77B6F"/>
    <w:rsid w:val="71A846DD"/>
    <w:rsid w:val="74D8573F"/>
    <w:rsid w:val="78884CB8"/>
    <w:rsid w:val="78AA3745"/>
    <w:rsid w:val="7A262299"/>
    <w:rsid w:val="7A4061A0"/>
    <w:rsid w:val="7E016938"/>
    <w:rsid w:val="7ED4068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41" w:beforeAutospacing="0" w:after="141" w:afterAutospacing="0"/>
      <w:ind w:left="0" w:right="0"/>
      <w:jc w:val="left"/>
    </w:pPr>
    <w:rPr>
      <w:rFonts w:hint="eastAsia" w:ascii="宋体" w:hAnsi="宋体" w:eastAsia="宋体" w:cs="宋体"/>
      <w:kern w:val="44"/>
      <w:sz w:val="30"/>
      <w:szCs w:val="30"/>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0" w:after="0" w:afterAutospacing="0"/>
      <w:ind w:left="0" w:right="0"/>
      <w:jc w:val="left"/>
    </w:pPr>
    <w:rPr>
      <w:kern w:val="0"/>
      <w:sz w:val="24"/>
      <w:lang w:val="en-US" w:eastAsia="zh-CN" w:bidi="ar"/>
    </w:rPr>
  </w:style>
  <w:style w:type="character" w:styleId="6">
    <w:name w:val="Strong"/>
    <w:basedOn w:val="5"/>
    <w:qFormat/>
    <w:uiPriority w:val="0"/>
    <w:rPr>
      <w:b/>
      <w:bCs/>
    </w:rPr>
  </w:style>
  <w:style w:type="character" w:styleId="7">
    <w:name w:val="FollowedHyperlink"/>
    <w:basedOn w:val="5"/>
    <w:uiPriority w:val="0"/>
    <w:rPr>
      <w:color w:val="333333"/>
      <w:u w:val="none"/>
    </w:rPr>
  </w:style>
  <w:style w:type="character" w:styleId="8">
    <w:name w:val="Emphasis"/>
    <w:basedOn w:val="5"/>
    <w:qFormat/>
    <w:uiPriority w:val="0"/>
  </w:style>
  <w:style w:type="character" w:styleId="9">
    <w:name w:val="HTML Definition"/>
    <w:basedOn w:val="5"/>
    <w:uiPriority w:val="0"/>
    <w:rPr>
      <w:i/>
      <w:iCs/>
    </w:rPr>
  </w:style>
  <w:style w:type="character" w:styleId="10">
    <w:name w:val="HTML Acronym"/>
    <w:basedOn w:val="5"/>
    <w:uiPriority w:val="0"/>
  </w:style>
  <w:style w:type="character" w:styleId="11">
    <w:name w:val="Hyperlink"/>
    <w:basedOn w:val="5"/>
    <w:uiPriority w:val="0"/>
    <w:rPr>
      <w:color w:val="333333"/>
      <w:u w:val="none"/>
    </w:rPr>
  </w:style>
  <w:style w:type="character" w:styleId="12">
    <w:name w:val="HTML Code"/>
    <w:basedOn w:val="5"/>
    <w:uiPriority w:val="0"/>
    <w:rPr>
      <w:rFonts w:ascii="monospace" w:hAnsi="monospace" w:eastAsia="monospace" w:cs="monospace"/>
      <w:sz w:val="21"/>
      <w:szCs w:val="21"/>
    </w:rPr>
  </w:style>
  <w:style w:type="character" w:styleId="13">
    <w:name w:val="HTML Keyboard"/>
    <w:basedOn w:val="5"/>
    <w:uiPriority w:val="0"/>
    <w:rPr>
      <w:rFonts w:hint="default" w:ascii="monospace" w:hAnsi="monospace" w:eastAsia="monospace" w:cs="monospace"/>
      <w:sz w:val="21"/>
      <w:szCs w:val="21"/>
    </w:rPr>
  </w:style>
  <w:style w:type="character" w:styleId="14">
    <w:name w:val="HTML Sample"/>
    <w:basedOn w:val="5"/>
    <w:uiPriority w:val="0"/>
    <w:rPr>
      <w:rFonts w:hint="default" w:ascii="monospace" w:hAnsi="monospace" w:eastAsia="monospace" w:cs="monospace"/>
      <w:sz w:val="21"/>
      <w:szCs w:val="21"/>
    </w:rPr>
  </w:style>
  <w:style w:type="character" w:customStyle="1" w:styleId="15">
    <w:name w:val="left"/>
    <w:basedOn w:val="5"/>
    <w:uiPriority w:val="0"/>
  </w:style>
  <w:style w:type="character" w:customStyle="1" w:styleId="16">
    <w:name w:val="c2"/>
    <w:basedOn w:val="5"/>
    <w:uiPriority w:val="0"/>
  </w:style>
  <w:style w:type="character" w:customStyle="1" w:styleId="17">
    <w:name w:val="c3"/>
    <w:basedOn w:val="5"/>
    <w:uiPriority w:val="0"/>
  </w:style>
  <w:style w:type="character" w:customStyle="1" w:styleId="18">
    <w:name w:val="tit1"/>
    <w:basedOn w:val="5"/>
    <w:uiPriority w:val="0"/>
  </w:style>
  <w:style w:type="character" w:customStyle="1" w:styleId="19">
    <w:name w:val="tit2"/>
    <w:basedOn w:val="5"/>
    <w:uiPriority w:val="0"/>
  </w:style>
  <w:style w:type="character" w:customStyle="1" w:styleId="20">
    <w:name w:val="tit3"/>
    <w:basedOn w:val="5"/>
    <w:uiPriority w:val="0"/>
  </w:style>
  <w:style w:type="character" w:customStyle="1" w:styleId="21">
    <w:name w:val="tit4"/>
    <w:basedOn w:val="5"/>
    <w:uiPriority w:val="0"/>
  </w:style>
  <w:style w:type="character" w:customStyle="1" w:styleId="22">
    <w:name w:val="tit5"/>
    <w:basedOn w:val="5"/>
    <w:uiPriority w:val="0"/>
  </w:style>
  <w:style w:type="character" w:customStyle="1" w:styleId="23">
    <w:name w:val="tit6"/>
    <w:basedOn w:val="5"/>
    <w:uiPriority w:val="0"/>
  </w:style>
  <w:style w:type="character" w:customStyle="1" w:styleId="24">
    <w:name w:val="tit7"/>
    <w:basedOn w:val="5"/>
    <w:uiPriority w:val="0"/>
  </w:style>
  <w:style w:type="character" w:customStyle="1" w:styleId="25">
    <w:name w:val="tit8"/>
    <w:basedOn w:val="5"/>
    <w:uiPriority w:val="0"/>
    <w:rPr>
      <w:color w:val="000000"/>
      <w:sz w:val="24"/>
      <w:szCs w:val="24"/>
    </w:rPr>
  </w:style>
  <w:style w:type="character" w:customStyle="1" w:styleId="26">
    <w:name w:val="msg-box8"/>
    <w:basedOn w:val="5"/>
    <w:uiPriority w:val="0"/>
  </w:style>
  <w:style w:type="character" w:customStyle="1" w:styleId="27">
    <w:name w:val="c1"/>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2018-01-23T01:04:00Z</dcterms:created>
  <dc:creator>suo1378554010</dc:creator>
  <cp:lastModifiedBy>袁学所</cp:lastModifiedBy>
  <dcterms:modified xsi:type="dcterms:W3CDTF">2021-03-30T13:49:24Z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BB61F2ACC6AD4987BF65F70B64B42728</vt:lpwstr>
  </property>
</Properties>
</file>