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highlight w:val="none"/>
          <w:lang w:val="en-US" w:eastAsia="zh-CN"/>
        </w:rPr>
      </w:pPr>
      <w:bookmarkStart w:id="0" w:name="_GoBack"/>
      <w:r>
        <w:rPr>
          <w:rFonts w:hint="eastAsia" w:asciiTheme="majorEastAsia" w:hAnsiTheme="majorEastAsia" w:eastAsiaTheme="majorEastAsia" w:cstheme="majorEastAsia"/>
          <w:b/>
          <w:bCs/>
          <w:sz w:val="44"/>
          <w:szCs w:val="44"/>
          <w:highlight w:val="none"/>
          <w:lang w:val="en-US" w:eastAsia="zh-CN"/>
        </w:rPr>
        <w:t>凤阳县统计局2020年政府信息公开工作年度报告</w:t>
      </w:r>
    </w:p>
    <w:bookmarkEnd w:id="0"/>
    <w:p>
      <w:pPr>
        <w:rPr>
          <w:rFonts w:hint="eastAsia" w:ascii="宋体" w:hAnsi="宋体" w:eastAsia="宋体" w:cs="宋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方正仿宋_GB18030" w:hAnsi="方正仿宋_GB18030" w:eastAsia="方正仿宋_GB18030" w:cs="方正仿宋_GB18030"/>
          <w:sz w:val="32"/>
          <w:szCs w:val="32"/>
          <w:highlight w:val="none"/>
          <w:lang w:val="en-US" w:eastAsia="zh-CN"/>
        </w:rPr>
        <w:t>本报告根据修订后的《中华人民共和国政府信息公开条例》（以下简称新《条例》）和《国务院办公厅政府信息与政务公开办公室关于政府信息公开工作年度报告有关事项的通知》（国办公开办函〔2019〕60号）要求，综合各二级机构、股室及网站各栏目有关统计数据形成。本报告由凤阳县统计局办公室编制，报告内容包括：总体情况，主动公开政府信息情况，收到和处理政府信息公开申请情况，政府信息公开行政复议、行政诉讼情况，存在的主要问题及改进情况，其他需要报告的事项等六个部分组成。本年度报告中使用数据统计期限为2020年1月1日起2020年12月31日止。本报告电子版可在凤阳县人民政府（</w:t>
      </w:r>
      <w:r>
        <w:rPr>
          <w:rFonts w:hint="eastAsia" w:ascii="方正仿宋_GB18030" w:hAnsi="方正仿宋_GB18030" w:eastAsia="方正仿宋_GB18030" w:cs="方正仿宋_GB18030"/>
          <w:sz w:val="32"/>
          <w:szCs w:val="32"/>
          <w:highlight w:val="none"/>
          <w:lang w:val="en-US" w:eastAsia="zh-CN"/>
        </w:rPr>
        <w:fldChar w:fldCharType="begin"/>
      </w:r>
      <w:r>
        <w:rPr>
          <w:rFonts w:hint="eastAsia" w:ascii="方正仿宋_GB18030" w:hAnsi="方正仿宋_GB18030" w:eastAsia="方正仿宋_GB18030" w:cs="方正仿宋_GB18030"/>
          <w:sz w:val="32"/>
          <w:szCs w:val="32"/>
          <w:highlight w:val="none"/>
          <w:lang w:val="en-US" w:eastAsia="zh-CN"/>
        </w:rPr>
        <w:instrText xml:space="preserve"> HYPERLINK "http://www.chuzhou.gov.cn/public/161055492/1109721685.html" </w:instrText>
      </w:r>
      <w:r>
        <w:rPr>
          <w:rFonts w:hint="eastAsia" w:ascii="方正仿宋_GB18030" w:hAnsi="方正仿宋_GB18030" w:eastAsia="方正仿宋_GB18030" w:cs="方正仿宋_GB18030"/>
          <w:sz w:val="32"/>
          <w:szCs w:val="32"/>
          <w:highlight w:val="none"/>
          <w:lang w:val="en-US" w:eastAsia="zh-CN"/>
        </w:rPr>
        <w:fldChar w:fldCharType="separate"/>
      </w:r>
      <w:r>
        <w:rPr>
          <w:rFonts w:hint="eastAsia" w:ascii="方正仿宋_GB18030" w:hAnsi="方正仿宋_GB18030" w:eastAsia="方正仿宋_GB18030" w:cs="方正仿宋_GB18030"/>
          <w:sz w:val="32"/>
          <w:szCs w:val="32"/>
          <w:highlight w:val="none"/>
          <w:lang w:val="en-US" w:eastAsia="zh-CN"/>
        </w:rPr>
        <w:t>http://www.fengyang.gov.cn/public/161055508/1109657691.html</w:t>
      </w:r>
      <w:r>
        <w:rPr>
          <w:rFonts w:hint="eastAsia" w:ascii="方正仿宋_GB18030" w:hAnsi="方正仿宋_GB18030" w:eastAsia="方正仿宋_GB18030" w:cs="方正仿宋_GB18030"/>
          <w:sz w:val="32"/>
          <w:szCs w:val="32"/>
          <w:highlight w:val="none"/>
          <w:lang w:val="en-US" w:eastAsia="zh-CN"/>
        </w:rPr>
        <w:fldChar w:fldCharType="end"/>
      </w:r>
      <w:r>
        <w:rPr>
          <w:rFonts w:hint="eastAsia" w:ascii="方正仿宋_GB18030" w:hAnsi="方正仿宋_GB18030" w:eastAsia="方正仿宋_GB18030" w:cs="方正仿宋_GB18030"/>
          <w:sz w:val="32"/>
          <w:szCs w:val="32"/>
          <w:highlight w:val="none"/>
          <w:lang w:val="en-US" w:eastAsia="zh-CN"/>
        </w:rPr>
        <w:fldChar w:fldCharType="begin"/>
      </w:r>
      <w:r>
        <w:rPr>
          <w:rFonts w:hint="eastAsia" w:ascii="方正仿宋_GB18030" w:hAnsi="方正仿宋_GB18030" w:eastAsia="方正仿宋_GB18030" w:cs="方正仿宋_GB18030"/>
          <w:sz w:val="32"/>
          <w:szCs w:val="32"/>
          <w:highlight w:val="none"/>
          <w:lang w:val="en-US" w:eastAsia="zh-CN"/>
        </w:rPr>
        <w:instrText xml:space="preserve"> HYPERLINK "http://www.fengyang.gov.cn/zwgk/index.html" </w:instrText>
      </w:r>
      <w:r>
        <w:rPr>
          <w:rFonts w:hint="eastAsia" w:ascii="方正仿宋_GB18030" w:hAnsi="方正仿宋_GB18030" w:eastAsia="方正仿宋_GB18030" w:cs="方正仿宋_GB18030"/>
          <w:sz w:val="32"/>
          <w:szCs w:val="32"/>
          <w:highlight w:val="none"/>
          <w:lang w:val="en-US" w:eastAsia="zh-CN"/>
        </w:rPr>
        <w:fldChar w:fldCharType="separate"/>
      </w:r>
      <w:r>
        <w:rPr>
          <w:rFonts w:hint="eastAsia" w:ascii="方正仿宋_GB18030" w:hAnsi="方正仿宋_GB18030" w:eastAsia="方正仿宋_GB18030" w:cs="方正仿宋_GB18030"/>
          <w:sz w:val="32"/>
          <w:szCs w:val="32"/>
          <w:highlight w:val="none"/>
          <w:lang w:val="en-US" w:eastAsia="zh-CN"/>
        </w:rPr>
        <w:fldChar w:fldCharType="end"/>
      </w:r>
      <w:r>
        <w:rPr>
          <w:rFonts w:hint="eastAsia" w:ascii="方正仿宋_GB18030" w:hAnsi="方正仿宋_GB18030" w:eastAsia="方正仿宋_GB18030" w:cs="方正仿宋_GB18030"/>
          <w:sz w:val="32"/>
          <w:szCs w:val="32"/>
          <w:highlight w:val="none"/>
          <w:lang w:val="en-US" w:eastAsia="zh-CN"/>
        </w:rPr>
        <w:t>）下载，如对本报告有疑问，请与凤阳县统计局办公室联系（地址：凤阳县政务新区司法局3楼，联系电话：0550-6721846）。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方正仿宋_GB18030" w:hAnsi="方正仿宋_GB18030" w:eastAsia="方正仿宋_GB18030" w:cs="方正仿宋_GB18030"/>
          <w:sz w:val="32"/>
          <w:szCs w:val="32"/>
          <w:highlight w:val="none"/>
          <w:lang w:val="en-US" w:eastAsia="zh-CN"/>
        </w:rPr>
        <w:t>推进政府信息公开是凤阳县统计局深入推行政信息府公开，转变政府职能，实现管理创新，建设人民满意的服务型政府的一项重要工作。我局高度重视信息公开工作，按照《中华人民共和国政府信息公开条例》的要求，认真组织学习并对照文件精神，积极有序稳妥推进政府信息公开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楷体" w:hAnsi="楷体" w:eastAsia="楷体" w:cs="楷体"/>
          <w:b/>
          <w:bCs/>
          <w:sz w:val="32"/>
          <w:szCs w:val="32"/>
          <w:highlight w:val="none"/>
          <w:lang w:val="en-US" w:eastAsia="zh-CN"/>
        </w:rPr>
        <w:t>（一）主动公开情况。</w:t>
      </w:r>
      <w:r>
        <w:rPr>
          <w:rFonts w:hint="eastAsia" w:ascii="方正仿宋_GB18030" w:hAnsi="方正仿宋_GB18030" w:eastAsia="方正仿宋_GB18030" w:cs="方正仿宋_GB18030"/>
          <w:sz w:val="32"/>
          <w:szCs w:val="32"/>
          <w:highlight w:val="none"/>
          <w:lang w:val="en-US" w:eastAsia="zh-CN"/>
        </w:rPr>
        <w:t>深入推进决策公开、执行和结果公开、管理和服务公开，深化重点领域信息公开。全年主动发布各类政府信息128条。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楷体" w:hAnsi="楷体" w:eastAsia="楷体" w:cs="楷体"/>
          <w:b/>
          <w:bCs/>
          <w:sz w:val="32"/>
          <w:szCs w:val="32"/>
          <w:highlight w:val="none"/>
          <w:lang w:val="en-US" w:eastAsia="zh-CN"/>
        </w:rPr>
        <w:t>（二）依申请公开情况。</w:t>
      </w:r>
      <w:r>
        <w:rPr>
          <w:rFonts w:hint="eastAsia" w:ascii="方正仿宋_GB18030" w:hAnsi="方正仿宋_GB18030" w:eastAsia="方正仿宋_GB18030" w:cs="方正仿宋_GB18030"/>
          <w:sz w:val="32"/>
          <w:szCs w:val="32"/>
          <w:highlight w:val="none"/>
          <w:lang w:val="en-US" w:eastAsia="zh-CN"/>
        </w:rPr>
        <w:t>全年通过网络平台、信函等方式收到信息公开申请0件。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楷体" w:hAnsi="楷体" w:eastAsia="楷体" w:cs="楷体"/>
          <w:b/>
          <w:bCs/>
          <w:sz w:val="32"/>
          <w:szCs w:val="32"/>
          <w:highlight w:val="none"/>
          <w:lang w:val="en-US" w:eastAsia="zh-CN"/>
        </w:rPr>
        <w:t>（三）政府信息管理。</w:t>
      </w:r>
      <w:r>
        <w:rPr>
          <w:rFonts w:hint="eastAsia" w:ascii="方正仿宋_GB18030" w:hAnsi="方正仿宋_GB18030" w:eastAsia="方正仿宋_GB18030" w:cs="方正仿宋_GB18030"/>
          <w:sz w:val="32"/>
          <w:szCs w:val="32"/>
          <w:highlight w:val="none"/>
          <w:lang w:val="en-US" w:eastAsia="zh-CN"/>
        </w:rPr>
        <w:t>2020年凤阳县统计局主动发布各类政府信息128条。较好完成了政务信息公开及时准确、贴近民生、内容涵盖多方面的任务要求。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楷体" w:hAnsi="楷体" w:eastAsia="楷体" w:cs="楷体"/>
          <w:b/>
          <w:bCs/>
          <w:sz w:val="32"/>
          <w:szCs w:val="32"/>
          <w:highlight w:val="none"/>
          <w:lang w:val="en-US" w:eastAsia="zh-CN"/>
        </w:rPr>
        <w:t>（四）积极推进平台建设。</w:t>
      </w:r>
      <w:r>
        <w:rPr>
          <w:rFonts w:hint="eastAsia" w:ascii="方正仿宋_GB18030" w:hAnsi="方正仿宋_GB18030" w:eastAsia="方正仿宋_GB18030" w:cs="方正仿宋_GB18030"/>
          <w:sz w:val="32"/>
          <w:szCs w:val="32"/>
          <w:highlight w:val="none"/>
          <w:lang w:val="en-US" w:eastAsia="zh-CN"/>
        </w:rPr>
        <w:t>我局积极推进政府信息平台建设，认真落实县政府2020年政务公开要点，虽无开设政务新媒体账号、微信公众号等信息公开平台，但是不断优化信息发布流程，完善信息公开手段，提升信息公开质量。力求通过形式多样的信息公开方式，便于社会各界及时有效了解到统计的政务动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楷体" w:hAnsi="楷体" w:eastAsia="楷体" w:cs="楷体"/>
          <w:b/>
          <w:bCs/>
          <w:sz w:val="32"/>
          <w:szCs w:val="32"/>
          <w:highlight w:val="none"/>
          <w:lang w:val="en-US" w:eastAsia="zh-CN"/>
        </w:rPr>
        <w:t>（五）认真落实监督保障。</w:t>
      </w:r>
      <w:r>
        <w:rPr>
          <w:rFonts w:hint="eastAsia" w:ascii="方正仿宋_GB18030" w:hAnsi="方正仿宋_GB18030" w:eastAsia="方正仿宋_GB18030" w:cs="方正仿宋_GB18030"/>
          <w:sz w:val="32"/>
          <w:szCs w:val="32"/>
          <w:highlight w:val="none"/>
          <w:lang w:val="en-US" w:eastAsia="zh-CN"/>
        </w:rPr>
        <w:t>将政府信息公开、电子政务、政务公开落实情况纳入本年度绩效评估考核指标，并自觉接受社会评议和察访核验。一年来，我局政府信息公开工作实现零问责。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楷体" w:hAnsi="楷体" w:eastAsia="楷体" w:cs="楷体"/>
          <w:b/>
          <w:bCs/>
          <w:sz w:val="32"/>
          <w:szCs w:val="32"/>
          <w:highlight w:val="none"/>
          <w:lang w:val="en-US" w:eastAsia="zh-CN"/>
        </w:rPr>
        <w:t>（六）重点领域信息公开情况。</w:t>
      </w:r>
      <w:r>
        <w:rPr>
          <w:rFonts w:hint="eastAsia" w:ascii="方正仿宋_GB18030" w:hAnsi="方正仿宋_GB18030" w:eastAsia="方正仿宋_GB18030" w:cs="方正仿宋_GB18030"/>
          <w:sz w:val="32"/>
          <w:szCs w:val="32"/>
          <w:highlight w:val="none"/>
          <w:lang w:val="en-US" w:eastAsia="zh-CN"/>
        </w:rPr>
        <w:t>我局将按照《凤阳县统计局2020年政务公开“六提六保”自查问题的整改方案》的要求，做好专项工作推进和项目实施等方面的政府信息公开，并将重点领域信息公开纳入主动公开基本目录，接受社会群众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二、主动公开政府信息情况</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Layout w:type="autofit"/>
        <w:tblCellMar>
          <w:top w:w="0" w:type="dxa"/>
          <w:left w:w="0" w:type="dxa"/>
          <w:bottom w:w="0" w:type="dxa"/>
          <w:right w:w="0" w:type="dxa"/>
        </w:tblCellMar>
      </w:tblPr>
      <w:tblGrid>
        <w:gridCol w:w="2505"/>
        <w:gridCol w:w="2074"/>
        <w:gridCol w:w="42"/>
        <w:gridCol w:w="2080"/>
        <w:gridCol w:w="17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gridSpan w:val="5"/>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第二十条第（一）项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本年新制作数量</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本年新公开数量</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对外公开总数量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规章</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规范性文件</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gridSpan w:val="5"/>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第二十条第（五）项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上一年项目数量</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本年增/减</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行政许可</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其他对外管理服务事项</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gridSpan w:val="5"/>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第二十条第（六）项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信息内容</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上一年项目数量</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本年增/减</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处理决定数量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行政处罚</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行政强制</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gridSpan w:val="5"/>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第二十条第（八）项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信息内容</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上一年项目数量</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本年增/减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行政事业性收费</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gridSpan w:val="5"/>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第二十条第（九）项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信息内容</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采购项目数量</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采购总金额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政府集中采购</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4</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3017660元</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rPr>
          <w:trHeight w:val="0" w:hRule="atLeast"/>
        </w:trPr>
        <w:tc>
          <w:tcPr>
            <w:tcW w:w="2505" w:type="dxa"/>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1770" w:type="dxa"/>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30" w:type="dxa"/>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1740" w:type="dxa"/>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1785" w:type="dxa"/>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三、收到和处理政府信息公开申请情况</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Layout w:type="autofit"/>
        <w:tblCellMar>
          <w:top w:w="0" w:type="dxa"/>
          <w:left w:w="0" w:type="dxa"/>
          <w:bottom w:w="0" w:type="dxa"/>
          <w:right w:w="0" w:type="dxa"/>
        </w:tblCellMar>
      </w:tblPr>
      <w:tblGrid>
        <w:gridCol w:w="1240"/>
        <w:gridCol w:w="1358"/>
        <w:gridCol w:w="1500"/>
        <w:gridCol w:w="768"/>
        <w:gridCol w:w="815"/>
        <w:gridCol w:w="815"/>
        <w:gridCol w:w="907"/>
        <w:gridCol w:w="907"/>
        <w:gridCol w:w="722"/>
        <w:gridCol w:w="7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gridSpan w:val="3"/>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（本列数据的勾稽关系为：第一项加第二项之和，等于第三项加第四项之和）</w:t>
            </w:r>
          </w:p>
        </w:tc>
        <w:tc>
          <w:tcPr>
            <w:tcW w:w="0" w:type="auto"/>
            <w:gridSpan w:val="7"/>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gridSpan w:val="3"/>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自然人</w:t>
            </w:r>
          </w:p>
        </w:tc>
        <w:tc>
          <w:tcPr>
            <w:tcW w:w="0" w:type="auto"/>
            <w:gridSpan w:val="5"/>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法人或其他组织</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gridSpan w:val="3"/>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商业企业</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科研机构</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社会公益组织</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法律服务机构</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其他</w:t>
            </w: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一、本年新收政府信息公开申请数量</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二、上年结转政府信息公开申请数量</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三、本年度办理结果</w:t>
            </w: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（一）予以公开</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（二）部分公开（区分处理的，只计这一情形，不计其他情形）</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（三）不予公开</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属于国家秘密</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其他法律行政法规禁止公开</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危及“三安全一稳定”</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保护第三方合法权益</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属于三类内部事务信息</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属于四类过程性信息</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属于行政执法案卷</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属于行政查询事项</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（四）无法提供</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本机关不掌握相关政府信息</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没有现成信息需要另行制作</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补正后申请内容仍不明确</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（五）不予处理</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信访举报投诉类申请</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重复申请</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要求提供公开出版物</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无正当理由大量反复申请</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要求行政机关确认或重新出具已获取信息</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（六）其他处理</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（七）总计</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四、结转下年度继续办理</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gridSpan w:val="3"/>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四、政府信息公开行政复议、行政诉讼情况</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Layout w:type="autofit"/>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1"/>
        <w:gridCol w:w="651"/>
        <w:gridCol w:w="651"/>
        <w:gridCol w:w="65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gridSpan w:val="5"/>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行政复议</w:t>
            </w:r>
          </w:p>
        </w:tc>
        <w:tc>
          <w:tcPr>
            <w:tcW w:w="0" w:type="auto"/>
            <w:gridSpan w:val="10"/>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结果维持</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结果纠正</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其他结果</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尚未审结</w:t>
            </w:r>
          </w:p>
        </w:tc>
        <w:tc>
          <w:tcPr>
            <w:tcW w:w="0" w:type="auto"/>
            <w:vMerge w:val="restart"/>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总计</w:t>
            </w:r>
          </w:p>
        </w:tc>
        <w:tc>
          <w:tcPr>
            <w:tcW w:w="0" w:type="auto"/>
            <w:gridSpan w:val="5"/>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未经复议直接起诉</w:t>
            </w:r>
          </w:p>
        </w:tc>
        <w:tc>
          <w:tcPr>
            <w:tcW w:w="0" w:type="auto"/>
            <w:gridSpan w:val="5"/>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vMerge w:val="continue"/>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结果维持</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结果纠正</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其他结果</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尚未审结</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总计</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结果维持</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结果纠正</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其他结果</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尚未审结</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8F8F8"/>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c>
          <w:tcPr>
            <w:tcW w:w="0" w:type="auto"/>
            <w:tcBorders>
              <w:top w:val="outset" w:color="auto" w:sz="6" w:space="0"/>
              <w:left w:val="outset" w:color="auto" w:sz="6" w:space="0"/>
              <w:bottom w:val="outset" w:color="auto" w:sz="6" w:space="0"/>
              <w:right w:val="outset" w:color="auto" w:sz="6" w:space="0"/>
            </w:tcBorders>
            <w:shd w:val="clear" w:color="auto" w:fill="F8F8F8"/>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b w:val="0"/>
                <w:bCs w:val="0"/>
                <w:sz w:val="24"/>
                <w:szCs w:val="24"/>
                <w:highlight w:val="none"/>
                <w:lang w:val="en-US" w:eastAsia="zh-CN"/>
              </w:rPr>
            </w:pPr>
            <w:r>
              <w:rPr>
                <w:rFonts w:hint="eastAsia" w:ascii="宋体" w:hAnsi="宋体" w:eastAsia="宋体" w:cs="宋体"/>
                <w:b w:val="0"/>
                <w:bCs w:val="0"/>
                <w:sz w:val="24"/>
                <w:szCs w:val="24"/>
                <w:highlight w:val="none"/>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五、存在的主要问题及改进措施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方正仿宋_GB18030" w:hAnsi="方正仿宋_GB18030" w:eastAsia="方正仿宋_GB18030" w:cs="方正仿宋_GB18030"/>
          <w:sz w:val="32"/>
          <w:szCs w:val="32"/>
          <w:highlight w:val="none"/>
          <w:lang w:val="en-US" w:eastAsia="zh-CN"/>
        </w:rPr>
        <w:t>2020年，我局政务信息公开工作虽然取得了一定进展，但离县委、县政府和人民群众的要求还有一定的差距，主要表现有：一是公开内容需进一步规范，制度要进一步完善；二是日常监督检查力度需要进一步强化；三是业务培训不够系统；四是信息公开和更新还不够及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（二）改进措施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方正仿宋_GB18030" w:hAnsi="方正仿宋_GB18030" w:eastAsia="方正仿宋_GB18030" w:cs="方正仿宋_GB18030"/>
          <w:sz w:val="32"/>
          <w:szCs w:val="32"/>
          <w:highlight w:val="none"/>
          <w:lang w:val="en-US" w:eastAsia="zh-CN"/>
        </w:rPr>
        <w:t>针对以上问题，我局将采取以下改进措施：一是加强培训力度，有针对性地举办信息公开研讨活动，组织人员学习借鉴其他部门的好做法，进一步提高政府信息公开工作水平。二是不断完善政府信息公开的内容，及时更新政府信息，主动及时向社会公开可以公开的信息，以确保政府信息公开的完整性、全面性和及时性。三是不断拓展信息公开途径，丰富公开形式，特别是进一步公开信息公开流程，拓宽公开渠道，确保操作简便明了，利于查找。四是完善政府信息公开监督、评议制度，将评议监督工作常规化、日常化。五是积极协调相关股室密切配合，齐抓共管，提高政务公开管理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18030" w:hAnsi="方正仿宋_GB18030" w:eastAsia="方正仿宋_GB18030" w:cs="方正仿宋_GB18030"/>
          <w:sz w:val="32"/>
          <w:szCs w:val="32"/>
          <w:highlight w:val="none"/>
          <w:lang w:val="en-US" w:eastAsia="zh-CN"/>
        </w:rPr>
      </w:pPr>
      <w:r>
        <w:rPr>
          <w:rFonts w:hint="eastAsia" w:ascii="方正仿宋_GB18030" w:hAnsi="方正仿宋_GB18030" w:eastAsia="方正仿宋_GB18030" w:cs="方正仿宋_GB18030"/>
          <w:sz w:val="32"/>
          <w:szCs w:val="32"/>
          <w:highlight w:val="none"/>
          <w:lang w:val="en-US" w:eastAsia="zh-CN"/>
        </w:rPr>
        <w:t>我局暂无其他应报告的事项。 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r>
        <w:rPr>
          <w:rFonts w:hint="eastAsia" w:ascii="宋体" w:hAnsi="宋体" w:eastAsia="宋体" w:cs="宋体"/>
          <w:sz w:val="32"/>
          <w:szCs w:val="32"/>
          <w:highlight w:val="none"/>
        </w:rPr>
        <w:object>
          <v:shape id="_x0000_i1025" o:spt="75" type="#_x0000_t75" style="height:665.4pt;width:487.25pt;" o:ole="t" filled="f" o:preferrelative="t" stroked="f" coordsize="21600,21600">
            <v:path/>
            <v:fill on="f" focussize="0,0"/>
            <v:stroke on="f"/>
            <v:imagedata r:id="rId5" o:title=""/>
            <o:lock v:ext="edit" aspectratio="f"/>
            <w10:wrap type="none"/>
            <w10:anchorlock/>
          </v:shape>
          <o:OLEObject Type="Embed" ProgID="Word.Document.8" ShapeID="_x0000_i1025" DrawAspect="Content" ObjectID="_1468075725" r:id="rId4">
            <o:LockedField>false</o:LockedField>
          </o:OLEObject>
        </w:object>
      </w:r>
    </w:p>
    <w:p>
      <w:pPr>
        <w:rPr>
          <w:rFonts w:hint="eastAsia" w:ascii="宋体" w:hAnsi="宋体" w:eastAsia="宋体" w:cs="宋体"/>
          <w:sz w:val="32"/>
          <w:szCs w:val="32"/>
          <w:highlight w:val="none"/>
        </w:rPr>
      </w:pPr>
    </w:p>
    <w:p>
      <w:pPr>
        <w:rPr>
          <w:rFonts w:hint="eastAsia" w:ascii="宋体" w:hAnsi="宋体" w:eastAsia="宋体" w:cs="宋体"/>
          <w:sz w:val="32"/>
          <w:szCs w:val="32"/>
          <w:highlight w:val="none"/>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9B5E5D0-AF94-415E-9852-70C066C9F43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embedRegular r:id="rId2" w:fontKey="{0100EA5D-4F58-466C-A388-EB2CA96D6731}"/>
  </w:font>
  <w:font w:name="方正仿宋_GB18030">
    <w:panose1 w:val="02000000000000000000"/>
    <w:charset w:val="86"/>
    <w:family w:val="auto"/>
    <w:pitch w:val="default"/>
    <w:sig w:usb0="00000001" w:usb1="08000000" w:usb2="00000000" w:usb3="00000000" w:csb0="00040000" w:csb1="00000000"/>
    <w:embedRegular r:id="rId3" w:fontKey="{C1A697AA-15BD-449C-B44D-81CD0E234B5A}"/>
  </w:font>
  <w:font w:name="微软雅黑">
    <w:panose1 w:val="020B0503020204020204"/>
    <w:charset w:val="86"/>
    <w:family w:val="auto"/>
    <w:pitch w:val="default"/>
    <w:sig w:usb0="80000287" w:usb1="2ACF3C50" w:usb2="00000016" w:usb3="00000000" w:csb0="0004001F" w:csb1="00000000"/>
  </w:font>
  <w:font w:name="方正仿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8415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2022-03-04T03:21:00Z</dcterms:created>
  <dc:creator>TIFFANY</dc:creator>
  <cp:lastModifiedBy>TIFFANY</cp:lastModifiedBy>
  <dcterms:modified xsi:type="dcterms:W3CDTF">2022-03-04T03:33:41Z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F0DD9D6811794F2BB8EA58F292B9B504</vt:lpwstr>
  </property>
</Properties>
</file>