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0B0" w:rsidRDefault="004540B0" w:rsidP="004540B0">
      <w:pPr>
        <w:autoSpaceDN w:val="0"/>
        <w:adjustRightInd w:val="0"/>
        <w:snapToGrid w:val="0"/>
        <w:spacing w:line="600" w:lineRule="exact"/>
        <w:jc w:val="center"/>
        <w:rPr>
          <w:rFonts w:ascii="宋体" w:hAnsi="宋体"/>
          <w:b/>
          <w:bCs/>
          <w:color w:val="000000"/>
          <w:sz w:val="44"/>
          <w:szCs w:val="44"/>
        </w:rPr>
      </w:pPr>
      <w:r>
        <w:rPr>
          <w:rFonts w:ascii="宋体" w:hAnsi="宋体" w:hint="eastAsia"/>
          <w:b/>
          <w:bCs/>
          <w:color w:val="000000"/>
          <w:sz w:val="44"/>
          <w:szCs w:val="44"/>
        </w:rPr>
        <w:t>凤阳县人民政府</w:t>
      </w:r>
    </w:p>
    <w:p w:rsidR="004540B0" w:rsidRDefault="004540B0" w:rsidP="004540B0">
      <w:pPr>
        <w:autoSpaceDN w:val="0"/>
        <w:adjustRightInd w:val="0"/>
        <w:snapToGrid w:val="0"/>
        <w:spacing w:line="600" w:lineRule="exact"/>
        <w:jc w:val="center"/>
        <w:rPr>
          <w:rFonts w:ascii="宋体" w:hAnsi="宋体" w:hint="eastAsia"/>
          <w:b/>
          <w:bCs/>
          <w:color w:val="000000"/>
          <w:sz w:val="44"/>
          <w:szCs w:val="44"/>
        </w:rPr>
      </w:pPr>
      <w:r>
        <w:rPr>
          <w:rFonts w:ascii="宋体" w:hAnsi="宋体" w:hint="eastAsia"/>
          <w:b/>
          <w:bCs/>
          <w:color w:val="000000"/>
          <w:spacing w:val="-6"/>
          <w:sz w:val="44"/>
          <w:szCs w:val="44"/>
        </w:rPr>
        <w:t>关于调整高污染燃料禁燃区范围的通告</w:t>
      </w:r>
    </w:p>
    <w:p w:rsidR="004540B0" w:rsidRDefault="004540B0" w:rsidP="004540B0">
      <w:pPr>
        <w:autoSpaceDN w:val="0"/>
        <w:adjustRightInd w:val="0"/>
        <w:snapToGrid w:val="0"/>
        <w:spacing w:line="600" w:lineRule="exact"/>
        <w:jc w:val="center"/>
        <w:rPr>
          <w:rFonts w:ascii="楷体_GB2312" w:hAnsi="楷体_GB2312" w:hint="eastAsia"/>
          <w:color w:val="000000"/>
          <w:sz w:val="32"/>
          <w:szCs w:val="32"/>
        </w:rPr>
      </w:pPr>
      <w:r>
        <w:rPr>
          <w:rFonts w:ascii="楷体_GB2312" w:hAnsi="楷体_GB2312"/>
          <w:color w:val="000000"/>
          <w:sz w:val="32"/>
          <w:szCs w:val="32"/>
        </w:rPr>
        <w:t>（征求意见稿）</w:t>
      </w:r>
    </w:p>
    <w:p w:rsidR="004540B0" w:rsidRDefault="004540B0" w:rsidP="004540B0">
      <w:pPr>
        <w:autoSpaceDN w:val="0"/>
        <w:adjustRightInd w:val="0"/>
        <w:snapToGrid w:val="0"/>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 </w:t>
      </w:r>
    </w:p>
    <w:p w:rsidR="004540B0" w:rsidRDefault="004540B0" w:rsidP="004540B0">
      <w:pPr>
        <w:autoSpaceDN w:val="0"/>
        <w:adjustRightInd w:val="0"/>
        <w:snapToGrid w:val="0"/>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为适应当前大气污染防治工作形势，切实改善我县环境空气质量，保障人民群众身体健康，根据《中华人民共和国大气污染防治法》、《安徽省大气污染防治条例》和《高污染燃料目录》（国环规大气〔2017〕2号）等相关规定，结合我县大气污染防治工作实际，经研究，决定调整高污染燃料禁燃区范围，现将调整后有关事项通告如下：</w:t>
      </w:r>
    </w:p>
    <w:p w:rsidR="004540B0" w:rsidRDefault="004540B0" w:rsidP="004540B0">
      <w:pPr>
        <w:autoSpaceDN w:val="0"/>
        <w:adjustRightInd w:val="0"/>
        <w:snapToGrid w:val="0"/>
        <w:spacing w:line="560" w:lineRule="exact"/>
        <w:ind w:firstLineChars="200" w:firstLine="640"/>
        <w:rPr>
          <w:rFonts w:ascii="黑体" w:eastAsia="黑体" w:hAnsi="黑体" w:hint="eastAsia"/>
          <w:color w:val="000000"/>
          <w:sz w:val="32"/>
          <w:szCs w:val="32"/>
        </w:rPr>
      </w:pPr>
      <w:r>
        <w:rPr>
          <w:rFonts w:ascii="黑体" w:eastAsia="黑体" w:hAnsi="黑体" w:hint="eastAsia"/>
          <w:color w:val="000000"/>
          <w:sz w:val="32"/>
          <w:szCs w:val="32"/>
        </w:rPr>
        <w:t>一、禁燃区调整范围</w:t>
      </w:r>
    </w:p>
    <w:p w:rsidR="004540B0" w:rsidRDefault="004540B0" w:rsidP="004540B0">
      <w:pPr>
        <w:autoSpaceDN w:val="0"/>
        <w:adjustRightInd w:val="0"/>
        <w:snapToGrid w:val="0"/>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我县禁燃区范围调整为府城镇中心城区及临淮关镇、县经开区部分区域，具体为凤翔大道-涂山大道-龙盘大道--创业路合围区域。</w:t>
      </w:r>
    </w:p>
    <w:p w:rsidR="004540B0" w:rsidRDefault="004540B0" w:rsidP="004540B0">
      <w:pPr>
        <w:autoSpaceDN w:val="0"/>
        <w:adjustRightInd w:val="0"/>
        <w:snapToGrid w:val="0"/>
        <w:spacing w:line="560" w:lineRule="exact"/>
        <w:ind w:firstLineChars="200" w:firstLine="640"/>
        <w:rPr>
          <w:rFonts w:ascii="黑体" w:eastAsia="黑体" w:hAnsi="黑体" w:hint="eastAsia"/>
          <w:color w:val="000000"/>
          <w:sz w:val="32"/>
          <w:szCs w:val="32"/>
        </w:rPr>
      </w:pPr>
      <w:r>
        <w:rPr>
          <w:rFonts w:ascii="黑体" w:eastAsia="黑体" w:hAnsi="黑体" w:hint="eastAsia"/>
          <w:color w:val="000000"/>
          <w:sz w:val="32"/>
          <w:szCs w:val="32"/>
        </w:rPr>
        <w:t>二、高污染燃料执行类别</w:t>
      </w:r>
    </w:p>
    <w:p w:rsidR="004540B0" w:rsidRDefault="004540B0" w:rsidP="004540B0">
      <w:pPr>
        <w:autoSpaceDN w:val="0"/>
        <w:adjustRightInd w:val="0"/>
        <w:snapToGrid w:val="0"/>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根据《高污染燃料目录》规定，结合我县实际，我县禁燃区禁止燃用《高污染燃料目录》中Ⅲ（严格）燃料组合类别，即:</w:t>
      </w:r>
    </w:p>
    <w:p w:rsidR="004540B0" w:rsidRDefault="004540B0" w:rsidP="004540B0">
      <w:pPr>
        <w:autoSpaceDN w:val="0"/>
        <w:adjustRightInd w:val="0"/>
        <w:snapToGrid w:val="0"/>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（一）</w:t>
      </w:r>
      <w:r>
        <w:rPr>
          <w:rFonts w:ascii="仿宋_GB2312" w:eastAsia="仿宋_GB2312" w:hint="eastAsia"/>
          <w:sz w:val="32"/>
          <w:szCs w:val="32"/>
        </w:rPr>
        <w:t>煤炭及其制品（</w:t>
      </w:r>
      <w:r>
        <w:rPr>
          <w:rFonts w:ascii="仿宋_GB2312" w:eastAsia="仿宋_GB2312" w:hint="eastAsia"/>
          <w:color w:val="000000"/>
          <w:sz w:val="32"/>
          <w:szCs w:val="32"/>
        </w:rPr>
        <w:t>包括原煤、散煤、煤矸石、煤泥、煤粉、水煤浆、焦炭、兰炭等）；</w:t>
      </w:r>
    </w:p>
    <w:p w:rsidR="004540B0" w:rsidRDefault="004540B0" w:rsidP="004540B0">
      <w:pPr>
        <w:autoSpaceDN w:val="0"/>
        <w:adjustRightInd w:val="0"/>
        <w:snapToGrid w:val="0"/>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（二）石油焦、油页岩、原油、重油、渣油、煤焦油；</w:t>
      </w:r>
    </w:p>
    <w:p w:rsidR="004540B0" w:rsidRDefault="004540B0" w:rsidP="004540B0">
      <w:pPr>
        <w:autoSpaceDN w:val="0"/>
        <w:adjustRightInd w:val="0"/>
        <w:snapToGrid w:val="0"/>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（三）非专用锅炉或未配置高效除尘设施的专用锅炉燃用的生物质成型燃料；</w:t>
      </w:r>
    </w:p>
    <w:p w:rsidR="004540B0" w:rsidRDefault="004540B0" w:rsidP="004540B0">
      <w:pPr>
        <w:autoSpaceDN w:val="0"/>
        <w:adjustRightInd w:val="0"/>
        <w:snapToGrid w:val="0"/>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（四）国家规定的其他高污染燃料。</w:t>
      </w:r>
    </w:p>
    <w:p w:rsidR="004540B0" w:rsidRDefault="004540B0" w:rsidP="004540B0">
      <w:pPr>
        <w:autoSpaceDN w:val="0"/>
        <w:adjustRightInd w:val="0"/>
        <w:snapToGrid w:val="0"/>
        <w:spacing w:line="560" w:lineRule="exact"/>
        <w:ind w:firstLineChars="200" w:firstLine="640"/>
        <w:rPr>
          <w:rFonts w:ascii="黑体" w:eastAsia="黑体" w:hAnsi="黑体" w:hint="eastAsia"/>
          <w:color w:val="000000"/>
          <w:sz w:val="32"/>
          <w:szCs w:val="32"/>
        </w:rPr>
      </w:pPr>
      <w:r>
        <w:rPr>
          <w:rFonts w:ascii="黑体" w:eastAsia="黑体" w:hAnsi="黑体" w:hint="eastAsia"/>
          <w:color w:val="000000"/>
          <w:sz w:val="32"/>
          <w:szCs w:val="32"/>
        </w:rPr>
        <w:lastRenderedPageBreak/>
        <w:t>三、禁燃区管理规定</w:t>
      </w:r>
    </w:p>
    <w:p w:rsidR="004540B0" w:rsidRDefault="004540B0" w:rsidP="004540B0">
      <w:pPr>
        <w:autoSpaceDN w:val="0"/>
        <w:adjustRightInd w:val="0"/>
        <w:snapToGrid w:val="0"/>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自本通告发布之日起，禁燃区禁止新建、扩建燃用高污染燃料的设施，禁止销售高污染燃料。2014年划定的高污染燃料禁燃区范围内已建成的高污染燃料燃用设施应拆除或者改用天然气、页岩气、液化石油气、电或者其他清洁能源；本次调整新纳入区域范围内已建成的高污染燃料燃用设施应当于2020年12月31日前拆除或改用天然气、页岩气、液化石油气、电或者其他清洁能源。现有燃用高污染燃料燃用设施在拆除或改造前，有关单位和个人应当采取措施，确保大气污染物排放达到国家规定的大气污染物排放标准。</w:t>
      </w:r>
    </w:p>
    <w:p w:rsidR="004540B0" w:rsidRDefault="004540B0" w:rsidP="004540B0">
      <w:pPr>
        <w:autoSpaceDN w:val="0"/>
        <w:adjustRightInd w:val="0"/>
        <w:snapToGrid w:val="0"/>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因供气等基础设施不足等原因，确需在禁燃区内使用生物质成型燃料锅炉的，经县生态环境局等主管部门审核同意，可使用专用锅炉且配套高效除尘设施，其污染物排放浓度要达到或由于天然气锅炉对应的大气污染物排放标准。</w:t>
      </w:r>
    </w:p>
    <w:p w:rsidR="004540B0" w:rsidRDefault="004540B0" w:rsidP="004540B0">
      <w:pPr>
        <w:autoSpaceDN w:val="0"/>
        <w:adjustRightInd w:val="0"/>
        <w:snapToGrid w:val="0"/>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县生态环境分局对高污染燃料禁燃工作实施统一监督，县发改委、经信局、教体局、科技局、住建局、公安局、自然资源和规划局、商务局、卫健委、市场监督管理局、城管执法局等部门要按照各自职责，密切配合、多措并举，加强对本通告区域内高污染燃料的监督管理；要加大清洁能源的应用推广力度，积极鼓励、引导相关单位淘汰高污染燃料的设施设备，共同做好禁燃区实施工作。</w:t>
      </w:r>
    </w:p>
    <w:p w:rsidR="004540B0" w:rsidRDefault="004540B0" w:rsidP="004540B0">
      <w:pPr>
        <w:autoSpaceDN w:val="0"/>
        <w:adjustRightInd w:val="0"/>
        <w:snapToGrid w:val="0"/>
        <w:spacing w:line="560" w:lineRule="exact"/>
        <w:ind w:firstLineChars="200" w:firstLine="640"/>
        <w:rPr>
          <w:rFonts w:ascii="仿宋_GB2312" w:eastAsia="仿宋_GB2312" w:hint="eastAsia"/>
          <w:color w:val="000000"/>
          <w:sz w:val="32"/>
          <w:szCs w:val="32"/>
        </w:rPr>
      </w:pPr>
      <w:r>
        <w:rPr>
          <w:rFonts w:ascii="黑体" w:eastAsia="黑体" w:hAnsi="黑体" w:hint="eastAsia"/>
          <w:color w:val="000000"/>
          <w:sz w:val="32"/>
          <w:szCs w:val="32"/>
        </w:rPr>
        <w:t>四、发布时间</w:t>
      </w:r>
    </w:p>
    <w:p w:rsidR="008F1D6E" w:rsidRPr="004540B0" w:rsidRDefault="004540B0" w:rsidP="004540B0">
      <w:pPr>
        <w:autoSpaceDN w:val="0"/>
        <w:adjustRightInd w:val="0"/>
        <w:snapToGrid w:val="0"/>
        <w:spacing w:line="560" w:lineRule="exact"/>
        <w:ind w:firstLineChars="200" w:firstLine="640"/>
        <w:rPr>
          <w:rFonts w:ascii="仿宋" w:eastAsia="仿宋" w:hAnsi="仿宋"/>
          <w:color w:val="000000"/>
          <w:sz w:val="32"/>
          <w:szCs w:val="32"/>
        </w:rPr>
      </w:pPr>
      <w:r>
        <w:rPr>
          <w:rFonts w:ascii="仿宋_GB2312" w:eastAsia="仿宋_GB2312" w:hint="eastAsia"/>
          <w:color w:val="000000"/>
          <w:sz w:val="32"/>
          <w:szCs w:val="32"/>
        </w:rPr>
        <w:t>本通告自发布之日起施行。县政府2014年发布的《凤阳县人民政府关于划定高污染燃料禁燃区的通告》同时废止。</w:t>
      </w:r>
    </w:p>
    <w:sectPr w:rsidR="008F1D6E" w:rsidRPr="004540B0" w:rsidSect="008F1D6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Times New Roman"/>
    <w:charset w:val="00"/>
    <w:family w:val="auto"/>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540B0"/>
    <w:rsid w:val="004540B0"/>
    <w:rsid w:val="008F1D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0B0"/>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292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869</Characters>
  <Application>Microsoft Office Word</Application>
  <DocSecurity>0</DocSecurity>
  <Lines>7</Lines>
  <Paragraphs>2</Paragraphs>
  <ScaleCrop>false</ScaleCrop>
  <Company>Microsoft</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尹家业</dc:creator>
  <cp:lastModifiedBy>尹家业</cp:lastModifiedBy>
  <cp:revision>2</cp:revision>
  <dcterms:created xsi:type="dcterms:W3CDTF">2020-11-13T03:43:00Z</dcterms:created>
  <dcterms:modified xsi:type="dcterms:W3CDTF">2020-11-13T03:44:00Z</dcterms:modified>
</cp:coreProperties>
</file>