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4"/>
          <w:szCs w:val="44"/>
        </w:rPr>
      </w:pPr>
      <w:r>
        <w:rPr>
          <w:rFonts w:hint="eastAsia" w:ascii="宋体" w:hAnsi="宋体"/>
          <w:b/>
          <w:sz w:val="44"/>
          <w:szCs w:val="44"/>
        </w:rPr>
        <w:t>凤阳县</w:t>
      </w:r>
      <w:r>
        <w:rPr>
          <w:rFonts w:hint="eastAsia" w:ascii="宋体" w:hAnsi="宋体"/>
          <w:b/>
          <w:sz w:val="44"/>
          <w:szCs w:val="44"/>
          <w:lang w:eastAsia="zh-CN"/>
        </w:rPr>
        <w:t>文化和旅游局</w:t>
      </w:r>
      <w:r>
        <w:rPr>
          <w:rFonts w:hint="eastAsia" w:ascii="宋体" w:hAnsi="宋体"/>
          <w:b/>
          <w:sz w:val="44"/>
          <w:szCs w:val="44"/>
        </w:rPr>
        <w:t>2019年度政府信息</w:t>
      </w:r>
    </w:p>
    <w:p>
      <w:pPr>
        <w:jc w:val="center"/>
        <w:rPr>
          <w:rFonts w:hint="eastAsia" w:ascii="宋体" w:hAnsi="宋体"/>
          <w:b/>
          <w:sz w:val="44"/>
          <w:szCs w:val="44"/>
        </w:rPr>
      </w:pPr>
      <w:r>
        <w:rPr>
          <w:rFonts w:hint="eastAsia" w:ascii="宋体" w:hAnsi="宋体"/>
          <w:b/>
          <w:sz w:val="44"/>
          <w:szCs w:val="44"/>
        </w:rPr>
        <w:t>公开工作年度报告</w:t>
      </w:r>
    </w:p>
    <w:p>
      <w:pPr>
        <w:ind w:firstLine="640" w:firstLineChars="200"/>
        <w:rPr>
          <w:rFonts w:hint="eastAsia" w:ascii="黑体" w:hAnsi="黑体" w:eastAsia="黑体"/>
          <w:sz w:val="32"/>
          <w:szCs w:val="32"/>
        </w:rPr>
      </w:pPr>
    </w:p>
    <w:p>
      <w:pPr>
        <w:ind w:firstLine="640" w:firstLineChars="200"/>
        <w:rPr>
          <w:rFonts w:hint="eastAsia" w:ascii="黑体" w:hAnsi="黑体" w:eastAsia="黑体"/>
          <w:sz w:val="32"/>
          <w:szCs w:val="32"/>
        </w:rPr>
      </w:pPr>
      <w:r>
        <w:rPr>
          <w:rFonts w:hint="eastAsia" w:ascii="黑体" w:hAnsi="黑体" w:eastAsia="黑体"/>
          <w:sz w:val="32"/>
          <w:szCs w:val="32"/>
        </w:rPr>
        <w:t>一、总体情况</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2019年，凤阳县</w:t>
      </w:r>
      <w:r>
        <w:rPr>
          <w:rFonts w:hint="eastAsia" w:ascii="仿宋_GB2312" w:hAnsi="仿宋" w:eastAsia="仿宋_GB2312"/>
          <w:sz w:val="32"/>
          <w:szCs w:val="32"/>
          <w:lang w:eastAsia="zh-CN"/>
        </w:rPr>
        <w:t>文化和旅游局</w:t>
      </w:r>
      <w:r>
        <w:rPr>
          <w:rFonts w:hint="eastAsia" w:ascii="仿宋_GB2312" w:hAnsi="仿宋" w:eastAsia="仿宋_GB2312"/>
          <w:sz w:val="32"/>
          <w:szCs w:val="32"/>
        </w:rPr>
        <w:t>认真贯彻落实《中华人民共和国政府信息公开条例》，紧紧围绕县委、县政府中心工作，细化公开任务，加大公开力度，拓展公开范围，强化解读回应，增强公开实效，提升政府的透明度和公信力，切实保障公众知情权、参与权，政务信息工作取得了显著成效。2019年</w:t>
      </w:r>
      <w:r>
        <w:rPr>
          <w:rFonts w:hint="eastAsia" w:ascii="仿宋_GB2312" w:hAnsi="仿宋" w:eastAsia="仿宋_GB2312"/>
          <w:sz w:val="32"/>
          <w:szCs w:val="32"/>
          <w:lang w:eastAsia="zh-CN"/>
        </w:rPr>
        <w:t>凤阳县文化和旅游局共发布信息</w:t>
      </w:r>
      <w:r>
        <w:rPr>
          <w:rFonts w:hint="eastAsia" w:ascii="仿宋_GB2312" w:hAnsi="仿宋" w:eastAsia="仿宋_GB2312"/>
          <w:sz w:val="32"/>
          <w:szCs w:val="32"/>
          <w:lang w:val="en-US" w:eastAsia="zh-CN"/>
        </w:rPr>
        <w:t>278</w:t>
      </w:r>
      <w:r>
        <w:rPr>
          <w:rFonts w:hint="eastAsia" w:ascii="仿宋_GB2312" w:hAnsi="仿宋" w:eastAsia="仿宋_GB2312"/>
          <w:sz w:val="32"/>
          <w:szCs w:val="32"/>
        </w:rPr>
        <w:t>条，</w:t>
      </w:r>
      <w:r>
        <w:rPr>
          <w:rFonts w:hint="eastAsia" w:ascii="仿宋_GB2312" w:hAnsi="仿宋" w:eastAsia="仿宋_GB2312"/>
          <w:sz w:val="32"/>
          <w:szCs w:val="32"/>
          <w:lang w:eastAsia="zh-CN"/>
        </w:rPr>
        <w:t>涵盖机构领导、机构设置、政策法规、规划计划、财政资金、招标采购等各个方面</w:t>
      </w:r>
      <w:r>
        <w:rPr>
          <w:rFonts w:hint="eastAsia" w:ascii="仿宋_GB2312" w:hAnsi="仿宋" w:eastAsia="仿宋_GB2312"/>
          <w:sz w:val="32"/>
          <w:szCs w:val="32"/>
        </w:rPr>
        <w:t>。全年没有因政府信息公开工作而被申请行政复议或被提起行政诉讼情况。</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（一）主动公开情况</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2019年，我</w:t>
      </w:r>
      <w:r>
        <w:rPr>
          <w:rFonts w:hint="eastAsia" w:ascii="仿宋_GB2312" w:hAnsi="仿宋" w:eastAsia="仿宋_GB2312"/>
          <w:sz w:val="32"/>
          <w:szCs w:val="32"/>
          <w:lang w:eastAsia="zh-CN"/>
        </w:rPr>
        <w:t>局</w:t>
      </w:r>
      <w:r>
        <w:rPr>
          <w:rFonts w:hint="eastAsia" w:ascii="仿宋_GB2312" w:hAnsi="仿宋" w:eastAsia="仿宋_GB2312"/>
          <w:sz w:val="32"/>
          <w:szCs w:val="32"/>
        </w:rPr>
        <w:t>主动公开政府各项信息。2019年在县政府的正确领导下，凤阳县</w:t>
      </w:r>
      <w:r>
        <w:rPr>
          <w:rFonts w:hint="eastAsia" w:ascii="仿宋_GB2312" w:hAnsi="仿宋" w:eastAsia="仿宋_GB2312"/>
          <w:sz w:val="32"/>
          <w:szCs w:val="32"/>
          <w:lang w:eastAsia="zh-CN"/>
        </w:rPr>
        <w:t>文化和旅游局</w:t>
      </w:r>
      <w:r>
        <w:rPr>
          <w:rFonts w:hint="eastAsia" w:ascii="仿宋_GB2312" w:hAnsi="仿宋" w:eastAsia="仿宋_GB2312"/>
          <w:sz w:val="32"/>
          <w:szCs w:val="32"/>
        </w:rPr>
        <w:t>围绕政务公开重点工作任务分工的各项考核指标，以公众需求为导向，着力推进决策、执行、管理、服务和结果公开，强化政策解读、舆情回应和提升公开能力等重点，以公开促落实、促规范、促服务，促依法行政，全</w:t>
      </w:r>
      <w:r>
        <w:rPr>
          <w:rFonts w:hint="eastAsia" w:ascii="仿宋_GB2312" w:hAnsi="仿宋" w:eastAsia="仿宋_GB2312"/>
          <w:sz w:val="32"/>
          <w:szCs w:val="32"/>
          <w:lang w:eastAsia="zh-CN"/>
        </w:rPr>
        <w:t>局</w:t>
      </w:r>
      <w:r>
        <w:rPr>
          <w:rFonts w:hint="eastAsia" w:ascii="仿宋_GB2312" w:hAnsi="仿宋" w:eastAsia="仿宋_GB2312"/>
          <w:sz w:val="32"/>
          <w:szCs w:val="32"/>
        </w:rPr>
        <w:t>政务公开常态化、规范化水平不断提升。在政务公开</w:t>
      </w:r>
      <w:r>
        <w:rPr>
          <w:rFonts w:hint="eastAsia" w:ascii="仿宋_GB2312" w:hAnsi="仿宋" w:eastAsia="仿宋_GB2312"/>
          <w:sz w:val="32"/>
          <w:szCs w:val="32"/>
          <w:lang w:eastAsia="zh-CN"/>
        </w:rPr>
        <w:t>我局</w:t>
      </w:r>
      <w:r>
        <w:rPr>
          <w:rFonts w:hint="eastAsia" w:ascii="仿宋_GB2312" w:hAnsi="仿宋" w:eastAsia="仿宋_GB2312"/>
          <w:sz w:val="32"/>
          <w:szCs w:val="32"/>
        </w:rPr>
        <w:t>公开内容涉及年度财政预决算、政策文件、脱贫攻坚、计划规划、回应关切等多方面内容。   </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（二）依申请公开情况。2019年度，我</w:t>
      </w:r>
      <w:r>
        <w:rPr>
          <w:rFonts w:hint="eastAsia" w:ascii="仿宋_GB2312" w:hAnsi="仿宋" w:eastAsia="仿宋_GB2312"/>
          <w:sz w:val="32"/>
          <w:szCs w:val="32"/>
          <w:lang w:eastAsia="zh-CN"/>
        </w:rPr>
        <w:t>局</w:t>
      </w:r>
      <w:r>
        <w:rPr>
          <w:rFonts w:hint="eastAsia" w:ascii="仿宋_GB2312" w:hAnsi="仿宋" w:eastAsia="仿宋_GB2312"/>
          <w:sz w:val="32"/>
          <w:szCs w:val="32"/>
        </w:rPr>
        <w:t>未收到任何形式的政府信息公开申请。</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（三）政府信息管理。2019年，县</w:t>
      </w:r>
      <w:r>
        <w:rPr>
          <w:rFonts w:hint="eastAsia" w:ascii="仿宋_GB2312" w:hAnsi="仿宋" w:eastAsia="仿宋_GB2312"/>
          <w:sz w:val="32"/>
          <w:szCs w:val="32"/>
          <w:lang w:eastAsia="zh-CN"/>
        </w:rPr>
        <w:t>文化和旅游局</w:t>
      </w:r>
      <w:r>
        <w:rPr>
          <w:rFonts w:hint="eastAsia" w:ascii="仿宋_GB2312" w:hAnsi="仿宋" w:eastAsia="仿宋_GB2312"/>
          <w:sz w:val="32"/>
          <w:szCs w:val="32"/>
        </w:rPr>
        <w:t>加强了对发布信息的管理和审查工作，严格遵循发布信息可靠、真实、有用的原则，坚持保密和公开并重，建立和完善了信息公开管理制度，不断提升信息公开质量。</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平台建设。2019年在县政府办的统一指导下，按照政府信息公开目录规范，对公开目录进行了全面调整。严格按照国家、省市县制定的各领域政务公开标准指引，进一步细化完善公开目录、内容和流程，加强行业系统指导落实标准，创新实践提升标准落实质量效果，抓好信息保障。强化政府信息公开网建设，对栏目适当地调整，提高了政务服务水平。同时规范办事流程、发布办事指南、提供部门信息等多渠道为社</w:t>
      </w:r>
      <w:bookmarkStart w:id="0" w:name="_GoBack"/>
      <w:r>
        <w:rPr>
          <w:rFonts w:hint="eastAsia" w:ascii="仿宋_GB2312" w:hAnsi="仿宋" w:eastAsia="仿宋_GB2312"/>
          <w:sz w:val="32"/>
          <w:szCs w:val="32"/>
        </w:rPr>
        <w:t>会</w:t>
      </w:r>
      <w:bookmarkEnd w:id="0"/>
      <w:r>
        <w:rPr>
          <w:rFonts w:hint="eastAsia" w:ascii="仿宋_GB2312" w:hAnsi="仿宋" w:eastAsia="仿宋_GB2312"/>
          <w:sz w:val="32"/>
          <w:szCs w:val="32"/>
        </w:rPr>
        <w:t>公众提供优质服务。充分发挥我</w:t>
      </w:r>
      <w:r>
        <w:rPr>
          <w:rFonts w:hint="eastAsia" w:ascii="仿宋_GB2312" w:hAnsi="仿宋" w:eastAsia="仿宋_GB2312"/>
          <w:sz w:val="32"/>
          <w:szCs w:val="32"/>
          <w:lang w:eastAsia="zh-CN"/>
        </w:rPr>
        <w:t>局</w:t>
      </w:r>
      <w:r>
        <w:rPr>
          <w:rFonts w:hint="eastAsia" w:ascii="仿宋_GB2312" w:hAnsi="仿宋" w:eastAsia="仿宋_GB2312"/>
          <w:sz w:val="32"/>
          <w:szCs w:val="32"/>
        </w:rPr>
        <w:t>政府信息公开部门网页第一平台的作用，强化信息公开查询点、政务信息公开栏等建设阵地。</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（五）贯彻落实新条例。按照县政务公开办统一部署，细化宣传贯彻方案，明确责任分工，集中学习新《条例》。通过学习，我</w:t>
      </w:r>
      <w:r>
        <w:rPr>
          <w:rFonts w:hint="eastAsia" w:ascii="仿宋_GB2312" w:hAnsi="仿宋" w:eastAsia="仿宋_GB2312"/>
          <w:sz w:val="32"/>
          <w:szCs w:val="32"/>
          <w:lang w:eastAsia="zh-CN"/>
        </w:rPr>
        <w:t>局</w:t>
      </w:r>
      <w:r>
        <w:rPr>
          <w:rFonts w:hint="eastAsia" w:ascii="仿宋_GB2312" w:hAnsi="仿宋" w:eastAsia="仿宋_GB2312"/>
          <w:sz w:val="32"/>
          <w:szCs w:val="32"/>
        </w:rPr>
        <w:t>对政府信息公开工作机构的具体职责、公开范围、公开方式和程序等方面内容都有了细致、深入地了解，进一步增强了政府信息公开工作的指导性和针对性。</w:t>
      </w:r>
    </w:p>
    <w:p>
      <w:pPr>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（六）监督保障。我</w:t>
      </w:r>
      <w:r>
        <w:rPr>
          <w:rFonts w:hint="eastAsia" w:ascii="仿宋_GB2312" w:hAnsi="仿宋" w:eastAsia="仿宋_GB2312"/>
          <w:sz w:val="32"/>
          <w:szCs w:val="32"/>
          <w:lang w:eastAsia="zh-CN"/>
        </w:rPr>
        <w:t>局</w:t>
      </w:r>
      <w:r>
        <w:rPr>
          <w:rFonts w:hint="eastAsia" w:ascii="仿宋_GB2312" w:hAnsi="仿宋" w:eastAsia="仿宋_GB2312"/>
          <w:sz w:val="32"/>
          <w:szCs w:val="32"/>
        </w:rPr>
        <w:t>高度重视政府信息公开工作，成立了县</w:t>
      </w:r>
      <w:r>
        <w:rPr>
          <w:rFonts w:hint="eastAsia" w:ascii="仿宋_GB2312" w:hAnsi="仿宋" w:eastAsia="仿宋_GB2312"/>
          <w:sz w:val="32"/>
          <w:szCs w:val="32"/>
          <w:lang w:eastAsia="zh-CN"/>
        </w:rPr>
        <w:t>文化和旅游局</w:t>
      </w:r>
      <w:r>
        <w:rPr>
          <w:rFonts w:hint="eastAsia" w:ascii="仿宋_GB2312" w:hAnsi="仿宋" w:eastAsia="仿宋_GB2312"/>
          <w:sz w:val="32"/>
          <w:szCs w:val="32"/>
        </w:rPr>
        <w:t>政务公开工作领导小组，由办公室牵头负责全</w:t>
      </w:r>
      <w:r>
        <w:rPr>
          <w:rFonts w:hint="eastAsia" w:ascii="仿宋_GB2312" w:hAnsi="仿宋" w:eastAsia="仿宋_GB2312"/>
          <w:sz w:val="32"/>
          <w:szCs w:val="32"/>
          <w:lang w:eastAsia="zh-CN"/>
        </w:rPr>
        <w:t>局</w:t>
      </w:r>
      <w:r>
        <w:rPr>
          <w:rFonts w:hint="eastAsia" w:ascii="仿宋_GB2312" w:hAnsi="仿宋" w:eastAsia="仿宋_GB2312"/>
          <w:sz w:val="32"/>
          <w:szCs w:val="32"/>
        </w:rPr>
        <w:t>政府信息公开，组织协调、督促指导全</w:t>
      </w:r>
      <w:r>
        <w:rPr>
          <w:rFonts w:hint="eastAsia" w:ascii="仿宋_GB2312" w:hAnsi="仿宋" w:eastAsia="仿宋_GB2312"/>
          <w:sz w:val="32"/>
          <w:szCs w:val="32"/>
          <w:lang w:eastAsia="zh-CN"/>
        </w:rPr>
        <w:t>局</w:t>
      </w:r>
      <w:r>
        <w:rPr>
          <w:rFonts w:hint="eastAsia" w:ascii="仿宋_GB2312" w:hAnsi="仿宋" w:eastAsia="仿宋_GB2312"/>
          <w:sz w:val="32"/>
          <w:szCs w:val="32"/>
        </w:rPr>
        <w:t>政府公开工作，做到思想统一，职责分清，形成领导重视、组织高效、分工协作的良好工作机制。全面梳理我</w:t>
      </w:r>
      <w:r>
        <w:rPr>
          <w:rFonts w:hint="eastAsia" w:ascii="仿宋_GB2312" w:hAnsi="仿宋" w:eastAsia="仿宋_GB2312"/>
          <w:sz w:val="32"/>
          <w:szCs w:val="32"/>
          <w:lang w:eastAsia="zh-CN"/>
        </w:rPr>
        <w:t>局</w:t>
      </w:r>
      <w:r>
        <w:rPr>
          <w:rFonts w:hint="eastAsia" w:ascii="仿宋_GB2312" w:hAnsi="仿宋" w:eastAsia="仿宋_GB2312"/>
          <w:sz w:val="32"/>
          <w:szCs w:val="32"/>
        </w:rPr>
        <w:t>政务信息，对机构职能、规范性文件、规划计划等方面的政府信息按工作流程进行公开，接受社会和公众的监督，做到规范化、系统化地公开政府信息，为政务服务工作提供强有力的保障。</w:t>
      </w:r>
    </w:p>
    <w:p>
      <w:pPr>
        <w:ind w:firstLine="640" w:firstLineChars="200"/>
        <w:rPr>
          <w:rFonts w:hint="eastAsia" w:ascii="黑体" w:hAnsi="黑体" w:eastAsia="黑体"/>
          <w:sz w:val="32"/>
          <w:szCs w:val="32"/>
        </w:rPr>
      </w:pPr>
      <w:r>
        <w:rPr>
          <w:rFonts w:hint="eastAsia" w:ascii="黑体" w:hAnsi="黑体" w:eastAsia="黑体"/>
          <w:sz w:val="32"/>
          <w:szCs w:val="32"/>
        </w:rPr>
        <w:t>二、主动公开政府信息情况</w:t>
      </w:r>
    </w:p>
    <w:tbl>
      <w:tblPr>
        <w:tblStyle w:val="4"/>
        <w:tblpPr w:leftFromText="180" w:rightFromText="180" w:vertAnchor="text" w:horzAnchor="margin" w:tblpY="200"/>
        <w:tblOverlap w:val="never"/>
        <w:tblW w:w="7700"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75"/>
        <w:gridCol w:w="1110"/>
        <w:gridCol w:w="725"/>
        <w:gridCol w:w="42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7640"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第二十条第（一）项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信息内容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本年新</w:t>
            </w:r>
            <w:r>
              <w:rPr>
                <w:rFonts w:hint="eastAsia" w:ascii="微软雅黑" w:hAnsi="微软雅黑" w:eastAsia="微软雅黑" w:cs="宋体"/>
                <w:color w:val="333333"/>
                <w:kern w:val="0"/>
                <w:sz w:val="15"/>
                <w:szCs w:val="15"/>
              </w:rPr>
              <w:br w:type="textWrapping"/>
            </w:r>
            <w:r>
              <w:rPr>
                <w:rFonts w:hint="eastAsia" w:ascii="微软雅黑" w:hAnsi="微软雅黑" w:eastAsia="微软雅黑" w:cs="宋体"/>
                <w:color w:val="333333"/>
                <w:kern w:val="0"/>
                <w:sz w:val="15"/>
                <w:szCs w:val="15"/>
              </w:rPr>
              <w:t>制作数量</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本年新</w:t>
            </w:r>
            <w:r>
              <w:rPr>
                <w:rFonts w:hint="eastAsia" w:ascii="微软雅黑" w:hAnsi="微软雅黑" w:eastAsia="微软雅黑" w:cs="宋体"/>
                <w:color w:val="333333"/>
                <w:kern w:val="0"/>
                <w:sz w:val="15"/>
                <w:szCs w:val="15"/>
              </w:rPr>
              <w:br w:type="textWrapping"/>
            </w:r>
            <w:r>
              <w:rPr>
                <w:rFonts w:hint="eastAsia" w:ascii="微软雅黑" w:hAnsi="微软雅黑" w:eastAsia="微软雅黑" w:cs="宋体"/>
                <w:color w:val="333333"/>
                <w:kern w:val="0"/>
                <w:sz w:val="15"/>
                <w:szCs w:val="15"/>
              </w:rPr>
              <w:t>公开数量</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对外公开总数量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规章</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规范性文件</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640"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第二十条第（五）项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信息内容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上一年项目数量</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本年增/减</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行政许可</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13</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default"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-10</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其他对外管理服务事项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default"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14</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default"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-10</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640"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第二十条第（六）项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信息内容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上一年项目数量</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本年增/减</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处理决定数量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行政处罚</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14</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default"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-10</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行政强制</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9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424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640"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第二十条第（八）项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信息内容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上一年项目数量</w:t>
            </w:r>
          </w:p>
        </w:tc>
        <w:tc>
          <w:tcPr>
            <w:tcW w:w="49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本年增/减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行政事业性收费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49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7640"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第二十条第（九）项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信息内容</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采购项目数量</w:t>
            </w:r>
          </w:p>
        </w:tc>
        <w:tc>
          <w:tcPr>
            <w:tcW w:w="49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采购总金额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政府集中采购</w:t>
            </w: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default"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16</w:t>
            </w:r>
          </w:p>
        </w:tc>
        <w:tc>
          <w:tcPr>
            <w:tcW w:w="49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lang w:val="en-US" w:eastAsia="zh-CN"/>
              </w:rPr>
              <w:t>10862375.79元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5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rPr>
            </w:pPr>
          </w:p>
        </w:tc>
        <w:tc>
          <w:tcPr>
            <w:tcW w:w="108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497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r>
    </w:tbl>
    <w:p/>
    <w:p/>
    <w:p/>
    <w:p/>
    <w:p/>
    <w:p/>
    <w:p/>
    <w:p/>
    <w:p/>
    <w:p/>
    <w:p/>
    <w:p/>
    <w:p/>
    <w:p/>
    <w:p>
      <w:pPr>
        <w:widowControl/>
        <w:shd w:val="clear" w:color="auto" w:fill="FFFFFF"/>
        <w:ind w:firstLine="640" w:firstLineChars="200"/>
        <w:jc w:val="left"/>
        <w:rPr>
          <w:rFonts w:hint="eastAsia" w:ascii="黑体" w:hAnsi="黑体" w:eastAsia="黑体" w:cs="宋体"/>
          <w:color w:val="333333"/>
          <w:kern w:val="0"/>
          <w:sz w:val="32"/>
          <w:szCs w:val="32"/>
        </w:rPr>
      </w:pPr>
      <w:r>
        <w:rPr>
          <w:rFonts w:hint="eastAsia" w:ascii="黑体" w:hAnsi="黑体" w:eastAsia="黑体" w:cs="宋体"/>
          <w:color w:val="333333"/>
          <w:kern w:val="0"/>
          <w:sz w:val="32"/>
          <w:szCs w:val="32"/>
        </w:rPr>
        <w:t>三、收到和处理政府信息公开申请情况</w:t>
      </w:r>
    </w:p>
    <w:tbl>
      <w:tblPr>
        <w:tblStyle w:val="4"/>
        <w:tblW w:w="8396" w:type="dxa"/>
        <w:tblCellSpacing w:w="1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67"/>
        <w:gridCol w:w="969"/>
        <w:gridCol w:w="2511"/>
        <w:gridCol w:w="436"/>
        <w:gridCol w:w="550"/>
        <w:gridCol w:w="550"/>
        <w:gridCol w:w="776"/>
        <w:gridCol w:w="776"/>
        <w:gridCol w:w="323"/>
        <w:gridCol w:w="3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15" w:type="dxa"/>
        </w:trPr>
        <w:tc>
          <w:tcPr>
            <w:tcW w:w="4602" w:type="dxa"/>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（本列数据的勾稽关系为：第一项加第二项之和，等于第三项加第四项之和）</w:t>
            </w:r>
          </w:p>
        </w:tc>
        <w:tc>
          <w:tcPr>
            <w:tcW w:w="3704" w:type="dxa"/>
            <w:gridSpan w:val="7"/>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申请人情况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4602"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406"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自然人</w:t>
            </w:r>
          </w:p>
        </w:tc>
        <w:tc>
          <w:tcPr>
            <w:tcW w:w="2945"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法人或其他组织</w:t>
            </w:r>
          </w:p>
        </w:tc>
        <w:tc>
          <w:tcPr>
            <w:tcW w:w="293"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4602" w:type="dxa"/>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406"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商业企业</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科研机构</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社会公益组织</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法律服务机构</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其他</w:t>
            </w:r>
          </w:p>
        </w:tc>
        <w:tc>
          <w:tcPr>
            <w:tcW w:w="293"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460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一、本年新收政府信息公开申请数量</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460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二、上年结转政府信息公开申请数量</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三、本年度办理结果</w:t>
            </w:r>
          </w:p>
        </w:tc>
        <w:tc>
          <w:tcPr>
            <w:tcW w:w="34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（一）予以公开</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34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（二）部分公开（区分处理的，只计这一情形，不计其他情形）</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（三）不予公开</w:t>
            </w: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属于国家秘密</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2"/>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其他法律行政法规禁止公开</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3"/>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危及“三安全一稳定”</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4"/>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保护第三方合法权益</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5"/>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属于三类内部事务信息</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6"/>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属于四类过程性信息</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7"/>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属于行政执法案卷</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8"/>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属于行政查询事项</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（四）无法提供</w:t>
            </w: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9"/>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本机关不掌握相关政府信息</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0"/>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没有现成信息需要另行制作</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1"/>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补正后申请内容仍不明确</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（五）不予处理</w:t>
            </w: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2"/>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信访举报投诉类申请</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3"/>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重复申请</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4"/>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要求提供公开出版物</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5"/>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无正当理由大量反复申请</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939"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2481"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numPr>
                <w:ilvl w:val="0"/>
                <w:numId w:val="16"/>
              </w:numPr>
              <w:ind w:left="0"/>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要求行政机关确认或重新出具已获取信息</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34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（六）其他处理</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112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3450"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（七）总计</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lang w:val="en-US" w:eastAsia="zh-CN"/>
              </w:rPr>
              <w:t>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hint="eastAsia" w:ascii="微软雅黑" w:hAnsi="微软雅黑" w:eastAsia="微软雅黑" w:cs="宋体"/>
                <w:color w:val="333333"/>
                <w:kern w:val="0"/>
                <w:sz w:val="15"/>
                <w:szCs w:val="15"/>
                <w:lang w:val="en-US" w:eastAsia="zh-CN"/>
              </w:rPr>
            </w:pPr>
            <w:r>
              <w:rPr>
                <w:rFonts w:hint="eastAsia" w:ascii="微软雅黑" w:hAnsi="微软雅黑" w:eastAsia="微软雅黑" w:cs="宋体"/>
                <w:color w:val="333333"/>
                <w:kern w:val="0"/>
                <w:sz w:val="15"/>
                <w:szCs w:val="15"/>
              </w:rPr>
              <w:t> </w:t>
            </w:r>
            <w:r>
              <w:rPr>
                <w:rFonts w:hint="eastAsia" w:ascii="微软雅黑" w:hAnsi="微软雅黑" w:eastAsia="微软雅黑" w:cs="宋体"/>
                <w:color w:val="333333"/>
                <w:kern w:val="0"/>
                <w:sz w:val="15"/>
                <w:szCs w:val="15"/>
                <w:lang w:val="en-US" w:eastAsia="zh-CN"/>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15" w:type="dxa"/>
        </w:trPr>
        <w:tc>
          <w:tcPr>
            <w:tcW w:w="460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四、结转下年度继续办理</w:t>
            </w:r>
          </w:p>
        </w:tc>
        <w:tc>
          <w:tcPr>
            <w:tcW w:w="40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52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746"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293"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0 </w:t>
            </w:r>
          </w:p>
        </w:tc>
      </w:tr>
    </w:tbl>
    <w:p/>
    <w:tbl>
      <w:tblPr>
        <w:tblStyle w:val="4"/>
        <w:tblpPr w:leftFromText="180" w:rightFromText="180" w:vertAnchor="text" w:horzAnchor="margin" w:tblpXSpec="center" w:tblpY="-289"/>
        <w:tblW w:w="9750" w:type="dxa"/>
        <w:tblCellSpacing w:w="0" w:type="dxa"/>
        <w:tblInd w:w="0"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blCellSpacing w:w="0" w:type="dxa"/>
        </w:trPr>
        <w:tc>
          <w:tcPr>
            <w:tcW w:w="9750" w:type="dxa"/>
            <w:shd w:val="clear" w:color="auto" w:fill="FFFFFF"/>
            <w:vAlign w:val="center"/>
          </w:tcPr>
          <w:p>
            <w:pPr>
              <w:widowControl/>
              <w:shd w:val="clear" w:color="auto" w:fill="FFFFFF"/>
              <w:ind w:firstLine="800" w:firstLineChars="250"/>
              <w:jc w:val="left"/>
              <w:rPr>
                <w:rFonts w:hint="eastAsia" w:ascii="黑体" w:hAnsi="黑体" w:eastAsia="黑体" w:cs="宋体"/>
                <w:color w:val="333333"/>
                <w:kern w:val="0"/>
                <w:sz w:val="32"/>
                <w:szCs w:val="32"/>
              </w:rPr>
            </w:pPr>
            <w:r>
              <w:rPr>
                <w:rFonts w:hint="eastAsia" w:ascii="黑体" w:hAnsi="黑体" w:eastAsia="黑体" w:cs="宋体"/>
                <w:bCs/>
                <w:color w:val="333333"/>
                <w:kern w:val="0"/>
                <w:sz w:val="32"/>
                <w:szCs w:val="32"/>
              </w:rPr>
              <w:t>四、政府信息公开行政复议、行政诉讼情况</w:t>
            </w:r>
          </w:p>
          <w:tbl>
            <w:tblPr>
              <w:tblStyle w:val="4"/>
              <w:tblW w:w="9030" w:type="dxa"/>
              <w:tblCellSpacing w:w="15" w:type="dxa"/>
              <w:tblInd w:w="36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75"/>
              <w:gridCol w:w="660"/>
              <w:gridCol w:w="660"/>
              <w:gridCol w:w="660"/>
              <w:gridCol w:w="360"/>
              <w:gridCol w:w="660"/>
              <w:gridCol w:w="660"/>
              <w:gridCol w:w="660"/>
              <w:gridCol w:w="660"/>
              <w:gridCol w:w="360"/>
              <w:gridCol w:w="660"/>
              <w:gridCol w:w="660"/>
              <w:gridCol w:w="660"/>
              <w:gridCol w:w="660"/>
              <w:gridCol w:w="3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PrEx>
              <w:trPr>
                <w:tblCellSpacing w:w="15" w:type="dxa"/>
              </w:trPr>
              <w:tc>
                <w:tcPr>
                  <w:tcW w:w="297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行政复议</w:t>
                  </w:r>
                </w:p>
              </w:tc>
              <w:tc>
                <w:tcPr>
                  <w:tcW w:w="5970" w:type="dxa"/>
                  <w:gridSpan w:val="10"/>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行政诉讼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15" w:type="dxa"/>
              </w:trPr>
              <w:tc>
                <w:tcPr>
                  <w:tcW w:w="6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结果维持</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结果纠正</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其他结果</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尚未审结</w:t>
                  </w:r>
                </w:p>
              </w:tc>
              <w:tc>
                <w:tcPr>
                  <w:tcW w:w="330"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总计</w:t>
                  </w:r>
                </w:p>
              </w:tc>
              <w:tc>
                <w:tcPr>
                  <w:tcW w:w="297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未经复议直接起诉</w:t>
                  </w:r>
                </w:p>
              </w:tc>
              <w:tc>
                <w:tcPr>
                  <w:tcW w:w="2970"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复议后起诉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15" w:type="dxa"/>
              </w:trPr>
              <w:tc>
                <w:tcPr>
                  <w:tcW w:w="6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330"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结果维持</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结果纠正</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其他结果</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尚未审结</w:t>
                  </w:r>
                </w:p>
              </w:tc>
              <w:tc>
                <w:tcPr>
                  <w:tcW w:w="3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总计</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结果维持</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结果纠正</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其他结果</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尚未审结</w:t>
                  </w:r>
                </w:p>
              </w:tc>
              <w:tc>
                <w:tcPr>
                  <w:tcW w:w="3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总计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15" w:type="dxa"/>
              </w:trPr>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3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3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 0</w:t>
                  </w:r>
                </w:p>
              </w:tc>
              <w:tc>
                <w:tcPr>
                  <w:tcW w:w="6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c>
                <w:tcPr>
                  <w:tcW w:w="330"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left"/>
                    <w:rPr>
                      <w:rFonts w:ascii="微软雅黑" w:hAnsi="微软雅黑" w:eastAsia="微软雅黑" w:cs="宋体"/>
                      <w:color w:val="333333"/>
                      <w:kern w:val="0"/>
                      <w:sz w:val="15"/>
                      <w:szCs w:val="15"/>
                    </w:rPr>
                  </w:pPr>
                  <w:r>
                    <w:rPr>
                      <w:rFonts w:hint="eastAsia" w:ascii="微软雅黑" w:hAnsi="微软雅黑" w:eastAsia="微软雅黑" w:cs="宋体"/>
                      <w:color w:val="333333"/>
                      <w:kern w:val="0"/>
                      <w:sz w:val="15"/>
                      <w:szCs w:val="15"/>
                    </w:rPr>
                    <w:t>0</w:t>
                  </w:r>
                </w:p>
              </w:tc>
            </w:tr>
          </w:tbl>
          <w:p>
            <w:pPr>
              <w:widowControl/>
              <w:spacing w:line="310" w:lineRule="atLeast"/>
              <w:ind w:firstLine="640" w:firstLineChars="200"/>
              <w:rPr>
                <w:rFonts w:hint="eastAsia" w:ascii="黑体" w:hAnsi="黑体" w:eastAsia="黑体" w:cs="宋体"/>
                <w:color w:val="333333"/>
                <w:kern w:val="0"/>
                <w:sz w:val="32"/>
                <w:szCs w:val="32"/>
              </w:rPr>
            </w:pPr>
            <w:r>
              <w:rPr>
                <w:rFonts w:hint="eastAsia" w:ascii="黑体" w:hAnsi="黑体" w:eastAsia="黑体" w:cs="宋体"/>
                <w:bCs/>
                <w:color w:val="333333"/>
                <w:kern w:val="0"/>
                <w:sz w:val="32"/>
                <w:szCs w:val="32"/>
              </w:rPr>
              <w:t>五、存在的主要问题及改进情况</w:t>
            </w:r>
          </w:p>
          <w:p>
            <w:pPr>
              <w:widowControl/>
              <w:spacing w:line="310" w:lineRule="atLeast"/>
              <w:ind w:firstLine="640" w:firstLineChars="200"/>
              <w:rPr>
                <w:rFonts w:hint="eastAsia" w:ascii="仿宋_GB2312" w:hAnsi="宋体" w:eastAsia="仿宋_GB2312" w:cs="宋体"/>
                <w:color w:val="333333"/>
                <w:kern w:val="0"/>
                <w:sz w:val="32"/>
                <w:szCs w:val="32"/>
              </w:rPr>
            </w:pPr>
            <w:r>
              <w:rPr>
                <w:rFonts w:hint="eastAsia" w:ascii="仿宋_GB2312" w:hAnsi="微软雅黑" w:eastAsia="仿宋_GB2312"/>
                <w:color w:val="333333"/>
                <w:sz w:val="32"/>
                <w:szCs w:val="32"/>
                <w:shd w:val="clear" w:color="auto" w:fill="FFFFFF"/>
              </w:rPr>
              <w:t>我</w:t>
            </w:r>
            <w:r>
              <w:rPr>
                <w:rFonts w:hint="eastAsia" w:ascii="仿宋_GB2312" w:hAnsi="微软雅黑" w:eastAsia="仿宋_GB2312"/>
                <w:color w:val="333333"/>
                <w:sz w:val="32"/>
                <w:szCs w:val="32"/>
                <w:shd w:val="clear" w:color="auto" w:fill="FFFFFF"/>
                <w:lang w:eastAsia="zh-CN"/>
              </w:rPr>
              <w:t>局</w:t>
            </w:r>
            <w:r>
              <w:rPr>
                <w:rFonts w:hint="eastAsia" w:ascii="仿宋_GB2312" w:hAnsi="微软雅黑" w:eastAsia="仿宋_GB2312"/>
                <w:color w:val="333333"/>
                <w:sz w:val="32"/>
                <w:szCs w:val="32"/>
                <w:shd w:val="clear" w:color="auto" w:fill="FFFFFF"/>
              </w:rPr>
              <w:t>政务公开工作虽取得一定成效，但仍存在一些问题和不足，主要表现在</w:t>
            </w:r>
            <w:r>
              <w:rPr>
                <w:rFonts w:hint="eastAsia" w:ascii="仿宋_GB2312" w:eastAsia="仿宋_GB2312"/>
                <w:color w:val="000000"/>
                <w:sz w:val="32"/>
                <w:szCs w:val="32"/>
                <w:shd w:val="clear" w:color="auto" w:fill="FFFFFF"/>
              </w:rPr>
              <w:t>：信息公开质量有待进一步提升，</w:t>
            </w:r>
            <w:r>
              <w:rPr>
                <w:rFonts w:hint="eastAsia" w:ascii="仿宋_GB2312" w:eastAsia="仿宋_GB2312"/>
                <w:color w:val="000000"/>
                <w:sz w:val="32"/>
                <w:szCs w:val="32"/>
                <w:shd w:val="clear" w:color="auto" w:fill="FFFFFF"/>
                <w:lang w:eastAsia="zh-CN"/>
              </w:rPr>
              <w:t>时效性有待提高，</w:t>
            </w:r>
            <w:r>
              <w:rPr>
                <w:rFonts w:hint="eastAsia" w:ascii="仿宋_GB2312" w:hAnsi="微软雅黑" w:eastAsia="仿宋_GB2312"/>
                <w:color w:val="333333"/>
                <w:sz w:val="32"/>
                <w:szCs w:val="32"/>
                <w:shd w:val="clear" w:color="auto" w:fill="FFFFFF"/>
              </w:rPr>
              <w:t>政策</w:t>
            </w:r>
            <w:r>
              <w:rPr>
                <w:rFonts w:hint="eastAsia" w:ascii="仿宋_GB2312" w:hAnsi="微软雅黑" w:eastAsia="仿宋_GB2312"/>
                <w:color w:val="333333"/>
                <w:sz w:val="32"/>
                <w:szCs w:val="32"/>
                <w:shd w:val="clear" w:color="auto" w:fill="FFFFFF"/>
                <w:lang w:eastAsia="zh-CN"/>
              </w:rPr>
              <w:t>文件和政策解读发布</w:t>
            </w:r>
            <w:r>
              <w:rPr>
                <w:rFonts w:hint="eastAsia" w:ascii="仿宋_GB2312" w:hAnsi="微软雅黑" w:eastAsia="仿宋_GB2312"/>
                <w:color w:val="333333"/>
                <w:sz w:val="32"/>
                <w:szCs w:val="32"/>
                <w:shd w:val="clear" w:color="auto" w:fill="FFFFFF"/>
              </w:rPr>
              <w:t>有待进一步加强。下一步将加强队伍建设和业务培训，提高信息公开质量</w:t>
            </w:r>
            <w:r>
              <w:rPr>
                <w:rFonts w:hint="eastAsia" w:ascii="仿宋_GB2312" w:hAnsi="微软雅黑" w:eastAsia="仿宋_GB2312"/>
                <w:color w:val="333333"/>
                <w:sz w:val="32"/>
                <w:szCs w:val="32"/>
                <w:shd w:val="clear" w:color="auto" w:fill="FFFFFF"/>
                <w:lang w:eastAsia="zh-CN"/>
              </w:rPr>
              <w:t>和时效，加强对政策的研究掌握，及时发布相关文件和解读</w:t>
            </w:r>
            <w:r>
              <w:rPr>
                <w:rFonts w:hint="eastAsia" w:ascii="仿宋_GB2312" w:hAnsi="微软雅黑" w:eastAsia="仿宋_GB2312"/>
                <w:color w:val="333333"/>
                <w:sz w:val="32"/>
                <w:szCs w:val="32"/>
              </w:rPr>
              <w:t>。</w:t>
            </w:r>
          </w:p>
          <w:p>
            <w:pPr>
              <w:widowControl/>
              <w:spacing w:line="310" w:lineRule="atLeast"/>
              <w:ind w:firstLine="640" w:firstLineChars="200"/>
              <w:rPr>
                <w:rFonts w:hint="eastAsia" w:ascii="黑体" w:hAnsi="黑体" w:eastAsia="黑体" w:cs="宋体"/>
                <w:bCs/>
                <w:color w:val="333333"/>
                <w:kern w:val="0"/>
                <w:sz w:val="32"/>
                <w:szCs w:val="32"/>
              </w:rPr>
            </w:pPr>
            <w:r>
              <w:rPr>
                <w:rFonts w:hint="eastAsia" w:ascii="黑体" w:hAnsi="黑体" w:eastAsia="黑体" w:cs="宋体"/>
                <w:bCs/>
                <w:color w:val="333333"/>
                <w:kern w:val="0"/>
                <w:sz w:val="32"/>
                <w:szCs w:val="32"/>
              </w:rPr>
              <w:t>六、其他需要报告的事项</w:t>
            </w:r>
          </w:p>
          <w:p>
            <w:pPr>
              <w:widowControl/>
              <w:spacing w:line="310" w:lineRule="atLeast"/>
              <w:ind w:firstLine="640" w:firstLineChars="200"/>
              <w:rPr>
                <w:rFonts w:ascii="宋体" w:hAnsi="宋体" w:cs="宋体"/>
                <w:color w:val="333333"/>
                <w:kern w:val="0"/>
                <w:sz w:val="17"/>
                <w:szCs w:val="17"/>
              </w:rPr>
            </w:pPr>
            <w:r>
              <w:rPr>
                <w:rFonts w:hint="eastAsia" w:ascii="仿宋_GB2312" w:hAnsi="宋体" w:eastAsia="仿宋_GB2312" w:cs="宋体"/>
                <w:color w:val="333333"/>
                <w:kern w:val="0"/>
                <w:sz w:val="32"/>
                <w:szCs w:val="32"/>
              </w:rPr>
              <w:t>我</w:t>
            </w:r>
            <w:r>
              <w:rPr>
                <w:rFonts w:hint="eastAsia" w:ascii="仿宋_GB2312" w:hAnsi="宋体" w:eastAsia="仿宋_GB2312" w:cs="宋体"/>
                <w:color w:val="333333"/>
                <w:kern w:val="0"/>
                <w:sz w:val="32"/>
                <w:szCs w:val="32"/>
                <w:lang w:eastAsia="zh-CN"/>
              </w:rPr>
              <w:t>局</w:t>
            </w:r>
            <w:r>
              <w:rPr>
                <w:rFonts w:hint="eastAsia" w:ascii="仿宋_GB2312" w:hAnsi="宋体" w:eastAsia="仿宋_GB2312" w:cs="宋体"/>
                <w:color w:val="333333"/>
                <w:kern w:val="0"/>
                <w:sz w:val="32"/>
                <w:szCs w:val="32"/>
              </w:rPr>
              <w:t>无其他需报告的事项。</w:t>
            </w:r>
          </w:p>
        </w:tc>
      </w:tr>
    </w:tbl>
    <w:p/>
    <w:p>
      <w:pPr>
        <w:spacing w:line="520" w:lineRule="exact"/>
        <w:ind w:firstLine="640" w:firstLineChars="200"/>
        <w:rPr>
          <w:rFonts w:hint="eastAsia"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5FF"/>
    <w:multiLevelType w:val="multilevel"/>
    <w:tmpl w:val="0E3665F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6A978BC"/>
    <w:multiLevelType w:val="multilevel"/>
    <w:tmpl w:val="16A978BC"/>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C064A56"/>
    <w:multiLevelType w:val="multilevel"/>
    <w:tmpl w:val="1C064A56"/>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F0D4D83"/>
    <w:multiLevelType w:val="multilevel"/>
    <w:tmpl w:val="2F0D4D83"/>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FBA3623"/>
    <w:multiLevelType w:val="multilevel"/>
    <w:tmpl w:val="2FBA3623"/>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361B7477"/>
    <w:multiLevelType w:val="multilevel"/>
    <w:tmpl w:val="361B7477"/>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3C960A35"/>
    <w:multiLevelType w:val="multilevel"/>
    <w:tmpl w:val="3C960A35"/>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CF95000"/>
    <w:multiLevelType w:val="multilevel"/>
    <w:tmpl w:val="3CF95000"/>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DFA6F98"/>
    <w:multiLevelType w:val="multilevel"/>
    <w:tmpl w:val="3DFA6F98"/>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0C92BA2"/>
    <w:multiLevelType w:val="multilevel"/>
    <w:tmpl w:val="40C92BA2"/>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3E97EE4"/>
    <w:multiLevelType w:val="multilevel"/>
    <w:tmpl w:val="43E97EE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480372B"/>
    <w:multiLevelType w:val="multilevel"/>
    <w:tmpl w:val="4480372B"/>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AB371FB"/>
    <w:multiLevelType w:val="multilevel"/>
    <w:tmpl w:val="4AB371FB"/>
    <w:lvl w:ilvl="0" w:tentative="0">
      <w:start w:val="5"/>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2EA17E1"/>
    <w:multiLevelType w:val="multilevel"/>
    <w:tmpl w:val="52EA17E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6E922F6A"/>
    <w:multiLevelType w:val="multilevel"/>
    <w:tmpl w:val="6E922F6A"/>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702D3B54"/>
    <w:multiLevelType w:val="multilevel"/>
    <w:tmpl w:val="702D3B54"/>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3"/>
  </w:num>
  <w:num w:numId="2">
    <w:abstractNumId w:val="5"/>
  </w:num>
  <w:num w:numId="3">
    <w:abstractNumId w:val="1"/>
  </w:num>
  <w:num w:numId="4">
    <w:abstractNumId w:val="11"/>
  </w:num>
  <w:num w:numId="5">
    <w:abstractNumId w:val="12"/>
  </w:num>
  <w:num w:numId="6">
    <w:abstractNumId w:val="14"/>
  </w:num>
  <w:num w:numId="7">
    <w:abstractNumId w:val="15"/>
  </w:num>
  <w:num w:numId="8">
    <w:abstractNumId w:val="2"/>
  </w:num>
  <w:num w:numId="9">
    <w:abstractNumId w:val="0"/>
  </w:num>
  <w:num w:numId="10">
    <w:abstractNumId w:val="6"/>
  </w:num>
  <w:num w:numId="11">
    <w:abstractNumId w:val="3"/>
  </w:num>
  <w:num w:numId="12">
    <w:abstractNumId w:val="10"/>
  </w:num>
  <w:num w:numId="13">
    <w:abstractNumId w:val="9"/>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81A91"/>
    <w:rsid w:val="0AED2493"/>
    <w:rsid w:val="3FFD1BBA"/>
    <w:rsid w:val="5C154E14"/>
    <w:rsid w:val="758100F0"/>
    <w:rsid w:val="76981A91"/>
    <w:rsid w:val="77991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2020-01-22T02:27:00Z</dcterms:created>
  <dc:creator>Administrator</dc:creator>
  <cp:lastModifiedBy>松树</cp:lastModifiedBy>
  <dcterms:modified xsi:type="dcterms:W3CDTF">2020-12-25T08:33:18Z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