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bookmarkEnd w:id="0"/>
      <w:r>
        <w:t>滁州市凤阳县西泉镇2019年政府信息公开工作年度报告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2019年以来，</w:t>
      </w:r>
      <w:r>
        <w:rPr>
          <w:rFonts w:hint="eastAsia" w:ascii="宋体" w:hAnsi="宋体" w:eastAsia="宋体" w:cs="宋体"/>
          <w:i w:val="0"/>
          <w:caps w:val="0"/>
          <w:color w:val="333333"/>
          <w:spacing w:val="0"/>
          <w:sz w:val="24"/>
          <w:szCs w:val="24"/>
          <w:shd w:val="clear" w:fill="F8F8F8"/>
          <w:lang w:eastAsia="zh-CN"/>
        </w:rPr>
        <w:t>西泉</w:t>
      </w:r>
      <w:r>
        <w:rPr>
          <w:rFonts w:hint="eastAsia" w:ascii="宋体" w:hAnsi="宋体" w:eastAsia="宋体" w:cs="宋体"/>
          <w:i w:val="0"/>
          <w:caps w:val="0"/>
          <w:color w:val="333333"/>
          <w:spacing w:val="0"/>
          <w:sz w:val="24"/>
          <w:szCs w:val="24"/>
          <w:shd w:val="clear" w:fill="F8F8F8"/>
        </w:rPr>
        <w:t>镇政务公开工作在县政务公开办的指导下和镇党委政府的正确领导下有序开展。对于信息公开工作过程中的重点，主动加强公开、深化重点领域公开、强化政策解读和回应关切。根据新《条例》，学习县政务公开办公室《关于认真做好新修订的&lt;中华人民共和国政府信息公开条例&gt;宣传贯彻工作的通知》（政办电〔2019〕44号），同时调整信息公开指南，变更依申请公开申请表，开展新条例的宣传贯彻活动。贯彻落实县政务公开办公室《关于印发凤阳县政务公开工作整改提升专项行动方案的通知》（政办秘〔2019〕20号），在推进政务公开平台建设等方面进行任务分解，同时积极调整完善信息公开栏目，力促政务公开常态化、制度化、规范化。截至2019年12月31日，本年度信息公开目录信息更新量</w:t>
      </w:r>
      <w:r>
        <w:rPr>
          <w:rFonts w:hint="eastAsia" w:ascii="宋体" w:hAnsi="宋体" w:eastAsia="宋体" w:cs="宋体"/>
          <w:i w:val="0"/>
          <w:caps w:val="0"/>
          <w:color w:val="333333"/>
          <w:spacing w:val="0"/>
          <w:sz w:val="24"/>
          <w:szCs w:val="24"/>
          <w:shd w:val="clear" w:fill="F8F8F8"/>
          <w:lang w:val="en-US" w:eastAsia="zh-CN"/>
        </w:rPr>
        <w:t>211</w:t>
      </w:r>
      <w:r>
        <w:rPr>
          <w:rFonts w:hint="eastAsia" w:ascii="宋体" w:hAnsi="宋体" w:eastAsia="宋体" w:cs="宋体"/>
          <w:i w:val="0"/>
          <w:caps w:val="0"/>
          <w:color w:val="333333"/>
          <w:spacing w:val="0"/>
          <w:sz w:val="24"/>
          <w:szCs w:val="24"/>
          <w:shd w:val="clear" w:fill="F8F8F8"/>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（一）宣传贯彻落实新《条例》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召开了镇政务公开学习会议，对镇村两级干部开展《条例》学习。会议上对公开条例进行了政策解读，诠释了新《条例》的内容和作用，会后采取知识问答、考试等方式组织机关干部认真学习；利用LED屏、宣传栏进行宣传解读，其次通过为民服务中心的一线窗口，安排精通业务人员，向办事群众宣传政务公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（二）认真做好主动公开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2019年度，我镇努力提升政务公开水平，全面推进决策、执行、管理、服务、结果“五公开”，截至2019年12月31日，本年度信息公开目录信息更新量350条。完善重大行政决策公众参与平台，在政府门户网站、政务新媒体平台开展政策解读、网上调查、民意征集、政务咨询专栏，开展重大民生决策事项民意调查，及时公开意见征集采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（三）规范依申请公开答复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规范依申请公开办理流程，做好依申请公开接收、办理、答复、存档等工作环节，对申请内容复杂的依申请公开件，召开专题会议研究，确保落实落细，办理回复完整正确。严格依申请公开办理时限，从收到申请之日起20个工作日内，对相关依申请公开信息按规定时限回复。全年未收到信息公开申请、行政复议和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（四）落实政务公开平台建设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强化栏目分类，回应群众诉求。进一步建立和完善政务公开制度，关注“回应关切”栏目，方便群众网上咨询和在线提交意见建议，切实保障人民群众的知情权、参与权、监督权和表达权，不断推进政务公开工作，取得新成效。强化决策公开，接受社会监督。认真执行《重大行政决策程序暂行条例》，进一步推进重大决策预公开，涉及公共利益和公众权益的重大事项，除依法应当保密的外，采取网络征集、咨询协商、媒体沟通等多种形式，广泛听取意见。大力推进决策、执行、管理、服务、结果公开,积极回应社会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规范政务公开制度建设。强化工作程序，注重信息时效。加强信息发布审核和保密审查工作。对信息的上报、审核、发布等流程作了严格的要求，实行经办人员上报、部门负责人把关、分管领导审核签发，办公室统一发布的管理制度，进一步加强信息公开的主动性和时效性。按照政务公开工作的要求，紧密结合工作特点，加强沟通，使信息上报及时、准确、规范、高效。深入推进“五公开”和政策解读、回应关切、公众参与等工作的标准化规范化，促进行政行为和公共服务事项公开更加全面、及时、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（六）政府信息管理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8F8F8"/>
        </w:rPr>
        <w:t>根据2019年安徽省政府信息主动公开基本目录规范要求，对照信息公开目录进行调整，做好新目录上线工作；做好政务公开栏目日常自查维护工作，特别是重点领域栏目的更新管理，发现更新不及时、错漏等问题及时整改。</w:t>
      </w:r>
    </w:p>
    <w:p>
      <w:pPr>
        <w:pStyle w:val="3"/>
        <w:keepNext w:val="0"/>
        <w:keepLines w:val="0"/>
        <w:widowControl/>
        <w:suppressLineNumbers w:val="0"/>
        <w:jc w:val="left"/>
      </w:pPr>
      <w:r>
        <w:rPr>
          <w:rFonts w:hint="eastAsia"/>
          <w:lang w:eastAsia="zh-CN"/>
        </w:rPr>
        <w:t>二、</w:t>
      </w:r>
      <w:r>
        <w:t>主动公开政府信息情况</w:t>
      </w:r>
    </w:p>
    <w:tbl>
      <w:tblPr>
        <w:tblStyle w:val="4"/>
        <w:tblW w:w="4903" w:type="dxa"/>
        <w:tblCellSpacing w:w="15" w:type="dxa"/>
        <w:tblInd w:w="-60" w:type="dxa"/>
        <w:shd w:val="clear" w:color="auto" w:fill="auto"/>
        <w:tblLayout w:type="fixed"/>
        <w:tblCellMar>
          <w:top w:w="15" w:type="dxa"/>
          <w:left w:w="15" w:type="dxa"/>
          <w:bottom w:w="15" w:type="dxa"/>
          <w:right w:w="15" w:type="dxa"/>
        </w:tblCellMar>
      </w:tblPr>
      <w:tblGrid>
        <w:gridCol w:w="1695"/>
        <w:gridCol w:w="1200"/>
        <w:gridCol w:w="793"/>
        <w:gridCol w:w="1215"/>
      </w:tblGrid>
      <w:tr>
        <w:tblPrEx>
          <w:shd w:val="clear" w:color="auto" w:fill="auto"/>
        </w:tblPrEx>
        <w:trPr>
          <w:tblCellSpacing w:w="15" w:type="dxa"/>
        </w:trPr>
        <w:tc>
          <w:tcPr>
            <w:tcW w:w="4843" w:type="dxa"/>
            <w:gridSpan w:val="4"/>
            <w:tcBorders>
              <w:top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ascii="Verdana" w:hAnsi="Verdana" w:eastAsia="宋体" w:cs="Verdana"/>
                <w:color w:val="000000"/>
                <w:sz w:val="16"/>
                <w:szCs w:val="16"/>
              </w:rPr>
              <w:t>第二十条第（一）项</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信息内容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本年新</w:t>
            </w:r>
            <w:r>
              <w:rPr>
                <w:rFonts w:hint="default" w:ascii="Verdana" w:hAnsi="Verdana" w:eastAsia="宋体" w:cs="Verdana"/>
                <w:color w:val="000000"/>
                <w:sz w:val="16"/>
                <w:szCs w:val="16"/>
              </w:rPr>
              <w:br w:type="textWrapping"/>
            </w:r>
            <w:r>
              <w:rPr>
                <w:rFonts w:hint="default" w:ascii="Verdana" w:hAnsi="Verdana" w:eastAsia="宋体" w:cs="Verdana"/>
                <w:color w:val="000000"/>
                <w:sz w:val="16"/>
                <w:szCs w:val="16"/>
              </w:rPr>
              <w:t>制作数量</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本年新</w:t>
            </w:r>
            <w:r>
              <w:rPr>
                <w:rFonts w:hint="default" w:ascii="Verdana" w:hAnsi="Verdana" w:eastAsia="宋体" w:cs="Verdana"/>
                <w:color w:val="000000"/>
                <w:sz w:val="16"/>
                <w:szCs w:val="16"/>
              </w:rPr>
              <w:br w:type="textWrapping"/>
            </w:r>
            <w:r>
              <w:rPr>
                <w:rFonts w:hint="default" w:ascii="Verdana" w:hAnsi="Verdana" w:eastAsia="宋体" w:cs="Verdana"/>
                <w:color w:val="000000"/>
                <w:sz w:val="16"/>
                <w:szCs w:val="16"/>
              </w:rPr>
              <w:t>公开数量</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对外公开总数量</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规章</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规范性文件</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4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第二十条第（五）项</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信息内容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上一年项目数量</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本年增/减</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处理决定数量</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行政许可</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其他对外管理服务事项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4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第二十条第（六）项</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信息内容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上一年项目数量</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本年增/减</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处理决定数量</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行政处罚</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行政强制</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4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第二十条第（八）项</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信息内容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上一年项目数量</w:t>
            </w: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本年增/减</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行政事业性收费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CellMar>
            <w:top w:w="15" w:type="dxa"/>
            <w:left w:w="15" w:type="dxa"/>
            <w:bottom w:w="15" w:type="dxa"/>
            <w:right w:w="15" w:type="dxa"/>
          </w:tblCellMar>
        </w:tblPrEx>
        <w:trPr>
          <w:tblCellSpacing w:w="15" w:type="dxa"/>
        </w:trPr>
        <w:tc>
          <w:tcPr>
            <w:tcW w:w="4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第二十条第（九）项</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信息内容</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采购项目数量</w:t>
            </w: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采购总金额</w:t>
            </w:r>
          </w:p>
        </w:tc>
      </w:tr>
      <w:tr>
        <w:tblPrEx>
          <w:tblCellMar>
            <w:top w:w="15" w:type="dxa"/>
            <w:left w:w="15" w:type="dxa"/>
            <w:bottom w:w="15" w:type="dxa"/>
            <w:right w:w="15" w:type="dxa"/>
          </w:tblCellMar>
        </w:tblPrEx>
        <w:trPr>
          <w:tblCellSpacing w:w="15" w:type="dxa"/>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政府集中采购</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19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bl>
    <w:p>
      <w:pPr>
        <w:pStyle w:val="3"/>
        <w:keepNext w:val="0"/>
        <w:keepLines w:val="0"/>
        <w:widowControl/>
        <w:suppressLineNumbers w:val="0"/>
      </w:pPr>
      <w:r>
        <w:t>三、收到和处理政府信息公开申请情况</w:t>
      </w:r>
    </w:p>
    <w:tbl>
      <w:tblPr>
        <w:tblStyle w:val="4"/>
        <w:tblW w:w="8416" w:type="dxa"/>
        <w:tblCellSpacing w:w="1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174"/>
        <w:gridCol w:w="1038"/>
        <w:gridCol w:w="2336"/>
        <w:gridCol w:w="457"/>
        <w:gridCol w:w="566"/>
        <w:gridCol w:w="566"/>
        <w:gridCol w:w="783"/>
        <w:gridCol w:w="783"/>
        <w:gridCol w:w="349"/>
        <w:gridCol w:w="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503" w:type="dxa"/>
            <w:gridSpan w:val="3"/>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（本列数据的勾稽关系为：第一项加第二项之和，等于第三项加第四项之和）</w:t>
            </w:r>
          </w:p>
        </w:tc>
        <w:tc>
          <w:tcPr>
            <w:tcW w:w="3823" w:type="dxa"/>
            <w:gridSpan w:val="7"/>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503" w:type="dxa"/>
            <w:gridSpan w:val="3"/>
            <w:vMerge w:val="continue"/>
            <w:shd w:val="clear" w:color="auto" w:fill="auto"/>
            <w:vAlign w:val="center"/>
          </w:tcPr>
          <w:p>
            <w:pPr>
              <w:rPr>
                <w:rFonts w:hint="default" w:ascii="Verdana" w:hAnsi="Verdana" w:eastAsia="宋体" w:cs="Verdana"/>
                <w:color w:val="000000"/>
                <w:sz w:val="16"/>
                <w:szCs w:val="16"/>
              </w:rPr>
            </w:pPr>
          </w:p>
        </w:tc>
        <w:tc>
          <w:tcPr>
            <w:tcW w:w="427"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自然人</w:t>
            </w:r>
          </w:p>
        </w:tc>
        <w:tc>
          <w:tcPr>
            <w:tcW w:w="3017" w:type="dxa"/>
            <w:gridSpan w:val="5"/>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法人或其他组织</w:t>
            </w:r>
          </w:p>
        </w:tc>
        <w:tc>
          <w:tcPr>
            <w:tcW w:w="319"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503" w:type="dxa"/>
            <w:gridSpan w:val="3"/>
            <w:vMerge w:val="continue"/>
            <w:shd w:val="clear" w:color="auto" w:fill="auto"/>
            <w:vAlign w:val="center"/>
          </w:tcPr>
          <w:p>
            <w:pPr>
              <w:rPr>
                <w:rFonts w:hint="default" w:ascii="Verdana" w:hAnsi="Verdana" w:eastAsia="宋体" w:cs="Verdana"/>
                <w:color w:val="000000"/>
                <w:sz w:val="16"/>
                <w:szCs w:val="16"/>
              </w:rPr>
            </w:pPr>
          </w:p>
        </w:tc>
        <w:tc>
          <w:tcPr>
            <w:tcW w:w="427" w:type="dxa"/>
            <w:vMerge w:val="continue"/>
            <w:shd w:val="clear" w:color="auto" w:fill="auto"/>
            <w:vAlign w:val="center"/>
          </w:tcPr>
          <w:p>
            <w:pPr>
              <w:rPr>
                <w:rFonts w:hint="default" w:ascii="Verdana" w:hAnsi="Verdana" w:eastAsia="宋体" w:cs="Verdana"/>
                <w:color w:val="000000"/>
                <w:sz w:val="16"/>
                <w:szCs w:val="16"/>
              </w:rPr>
            </w:pP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商业企业</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科研机构</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社会公益组织</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法律服务机构</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其他</w:t>
            </w:r>
          </w:p>
        </w:tc>
        <w:tc>
          <w:tcPr>
            <w:tcW w:w="319" w:type="dxa"/>
            <w:vMerge w:val="continue"/>
            <w:shd w:val="clear" w:color="auto" w:fill="auto"/>
            <w:vAlign w:val="center"/>
          </w:tcPr>
          <w:p>
            <w:pPr>
              <w:rPr>
                <w:rFonts w:hint="default" w:ascii="Verdana" w:hAnsi="Verdana" w:eastAsia="宋体" w:cs="Verdana"/>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503" w:type="dxa"/>
            <w:gridSpan w:val="3"/>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一、本年新收政府信息公开申请数量</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503" w:type="dxa"/>
            <w:gridSpan w:val="3"/>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二、上年结转政府信息公开申请数量</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三、本年度办理结果</w:t>
            </w:r>
          </w:p>
        </w:tc>
        <w:tc>
          <w:tcPr>
            <w:tcW w:w="3344" w:type="dxa"/>
            <w:gridSpan w:val="2"/>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（一）予以公开</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3344" w:type="dxa"/>
            <w:gridSpan w:val="2"/>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（二）部分公开（区分处理的，只计这一情形，不计其他情形）</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（三）不予公开</w:t>
            </w: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1.属于国家秘密</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2.其他法律行政法规禁止公开</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3.危及“三安全一稳定”</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4.保护第三方合法权益</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5.属于三类内部事务信息</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6.属于四类过程性信息</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7.属于行政执法案卷</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8.属于行政查询事项</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（四）无法提供</w:t>
            </w: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1.本机关不掌握相关政府信息</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2.没有现成信息需要另行制作</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3.补正后申请内容仍不明确</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（五）不予处理</w:t>
            </w: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1.信访举报投诉类申请</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2.重复申请</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3.要求提供公开出版物</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4.无正当理由大量反复申请</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1008" w:type="dxa"/>
            <w:shd w:val="clear" w:color="auto" w:fill="auto"/>
            <w:vAlign w:val="center"/>
          </w:tcPr>
          <w:p>
            <w:pPr>
              <w:rPr>
                <w:rFonts w:hint="default" w:ascii="Verdana" w:hAnsi="Verdana" w:eastAsia="宋体" w:cs="Verdana"/>
                <w:color w:val="000000"/>
                <w:sz w:val="16"/>
                <w:szCs w:val="16"/>
              </w:rPr>
            </w:pPr>
          </w:p>
        </w:tc>
        <w:tc>
          <w:tcPr>
            <w:tcW w:w="230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5.要求行政机关确认或重新出具已获取信息</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3344" w:type="dxa"/>
            <w:gridSpan w:val="2"/>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（六）其他处理</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29" w:type="dxa"/>
            <w:shd w:val="clear" w:color="auto" w:fill="auto"/>
            <w:vAlign w:val="center"/>
          </w:tcPr>
          <w:p>
            <w:pPr>
              <w:rPr>
                <w:rFonts w:hint="default" w:ascii="Verdana" w:hAnsi="Verdana" w:eastAsia="宋体" w:cs="Verdana"/>
                <w:color w:val="000000"/>
                <w:sz w:val="16"/>
                <w:szCs w:val="16"/>
              </w:rPr>
            </w:pPr>
          </w:p>
        </w:tc>
        <w:tc>
          <w:tcPr>
            <w:tcW w:w="3344" w:type="dxa"/>
            <w:gridSpan w:val="2"/>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（七）总计</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503" w:type="dxa"/>
            <w:gridSpan w:val="3"/>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四、结转下年度继续办理</w:t>
            </w:r>
          </w:p>
        </w:tc>
        <w:tc>
          <w:tcPr>
            <w:tcW w:w="427"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36"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75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19"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bl>
    <w:p>
      <w:pPr>
        <w:pStyle w:val="3"/>
        <w:keepNext w:val="0"/>
        <w:keepLines w:val="0"/>
        <w:widowControl/>
        <w:suppressLineNumbers w:val="0"/>
      </w:pPr>
      <w:r>
        <w:t>四、政府信息公开行政复议、行政诉讼情况</w:t>
      </w:r>
    </w:p>
    <w:tbl>
      <w:tblPr>
        <w:tblStyle w:val="4"/>
        <w:tblW w:w="8416" w:type="dxa"/>
        <w:tblCellSpacing w:w="1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23"/>
        <w:gridCol w:w="608"/>
        <w:gridCol w:w="608"/>
        <w:gridCol w:w="608"/>
        <w:gridCol w:w="363"/>
        <w:gridCol w:w="608"/>
        <w:gridCol w:w="608"/>
        <w:gridCol w:w="608"/>
        <w:gridCol w:w="608"/>
        <w:gridCol w:w="363"/>
        <w:gridCol w:w="608"/>
        <w:gridCol w:w="608"/>
        <w:gridCol w:w="608"/>
        <w:gridCol w:w="608"/>
        <w:gridCol w:w="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2765" w:type="dxa"/>
            <w:gridSpan w:val="5"/>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行政复议</w:t>
            </w:r>
          </w:p>
        </w:tc>
        <w:tc>
          <w:tcPr>
            <w:tcW w:w="5561" w:type="dxa"/>
            <w:gridSpan w:val="10"/>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78"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结果维持</w:t>
            </w:r>
          </w:p>
        </w:tc>
        <w:tc>
          <w:tcPr>
            <w:tcW w:w="578"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结果纠正</w:t>
            </w:r>
          </w:p>
        </w:tc>
        <w:tc>
          <w:tcPr>
            <w:tcW w:w="578"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其他结果</w:t>
            </w:r>
          </w:p>
        </w:tc>
        <w:tc>
          <w:tcPr>
            <w:tcW w:w="578"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尚未审结</w:t>
            </w:r>
          </w:p>
        </w:tc>
        <w:tc>
          <w:tcPr>
            <w:tcW w:w="333" w:type="dxa"/>
            <w:vMerge w:val="restart"/>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总计</w:t>
            </w:r>
          </w:p>
        </w:tc>
        <w:tc>
          <w:tcPr>
            <w:tcW w:w="2765" w:type="dxa"/>
            <w:gridSpan w:val="5"/>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未经复议直接起诉</w:t>
            </w:r>
          </w:p>
        </w:tc>
        <w:tc>
          <w:tcPr>
            <w:tcW w:w="2766" w:type="dxa"/>
            <w:gridSpan w:val="5"/>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78" w:type="dxa"/>
            <w:vMerge w:val="continue"/>
            <w:shd w:val="clear" w:color="auto" w:fill="auto"/>
            <w:vAlign w:val="center"/>
          </w:tcPr>
          <w:p>
            <w:pPr>
              <w:rPr>
                <w:rFonts w:hint="default" w:ascii="Verdana" w:hAnsi="Verdana" w:eastAsia="宋体" w:cs="Verdana"/>
                <w:color w:val="000000"/>
                <w:sz w:val="16"/>
                <w:szCs w:val="16"/>
              </w:rPr>
            </w:pPr>
          </w:p>
        </w:tc>
        <w:tc>
          <w:tcPr>
            <w:tcW w:w="578" w:type="dxa"/>
            <w:vMerge w:val="continue"/>
            <w:shd w:val="clear" w:color="auto" w:fill="auto"/>
            <w:vAlign w:val="center"/>
          </w:tcPr>
          <w:p>
            <w:pPr>
              <w:rPr>
                <w:rFonts w:hint="default" w:ascii="Verdana" w:hAnsi="Verdana" w:eastAsia="宋体" w:cs="Verdana"/>
                <w:color w:val="000000"/>
                <w:sz w:val="16"/>
                <w:szCs w:val="16"/>
              </w:rPr>
            </w:pPr>
          </w:p>
        </w:tc>
        <w:tc>
          <w:tcPr>
            <w:tcW w:w="578" w:type="dxa"/>
            <w:vMerge w:val="continue"/>
            <w:shd w:val="clear" w:color="auto" w:fill="auto"/>
            <w:vAlign w:val="center"/>
          </w:tcPr>
          <w:p>
            <w:pPr>
              <w:rPr>
                <w:rFonts w:hint="default" w:ascii="Verdana" w:hAnsi="Verdana" w:eastAsia="宋体" w:cs="Verdana"/>
                <w:color w:val="000000"/>
                <w:sz w:val="16"/>
                <w:szCs w:val="16"/>
              </w:rPr>
            </w:pPr>
          </w:p>
        </w:tc>
        <w:tc>
          <w:tcPr>
            <w:tcW w:w="578" w:type="dxa"/>
            <w:vMerge w:val="continue"/>
            <w:shd w:val="clear" w:color="auto" w:fill="auto"/>
            <w:vAlign w:val="center"/>
          </w:tcPr>
          <w:p>
            <w:pPr>
              <w:rPr>
                <w:rFonts w:hint="default" w:ascii="Verdana" w:hAnsi="Verdana" w:eastAsia="宋体" w:cs="Verdana"/>
                <w:color w:val="000000"/>
                <w:sz w:val="16"/>
                <w:szCs w:val="16"/>
              </w:rPr>
            </w:pPr>
          </w:p>
        </w:tc>
        <w:tc>
          <w:tcPr>
            <w:tcW w:w="333" w:type="dxa"/>
            <w:vMerge w:val="continue"/>
            <w:shd w:val="clear" w:color="auto" w:fill="auto"/>
            <w:vAlign w:val="center"/>
          </w:tcPr>
          <w:p>
            <w:pPr>
              <w:rPr>
                <w:rFonts w:hint="default" w:ascii="Verdana" w:hAnsi="Verdana" w:eastAsia="宋体" w:cs="Verdana"/>
                <w:color w:val="000000"/>
                <w:sz w:val="16"/>
                <w:szCs w:val="16"/>
              </w:rPr>
            </w:pP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结果维持</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结果纠正</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其他结果</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尚未审结</w:t>
            </w:r>
          </w:p>
        </w:tc>
        <w:tc>
          <w:tcPr>
            <w:tcW w:w="33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总计</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结果维持</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结果纠正</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其他结果</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尚未审结</w:t>
            </w:r>
          </w:p>
        </w:tc>
        <w:tc>
          <w:tcPr>
            <w:tcW w:w="334"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3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33"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578"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c>
          <w:tcPr>
            <w:tcW w:w="334" w:type="dxa"/>
            <w:shd w:val="clear" w:color="auto" w:fill="auto"/>
            <w:vAlign w:val="center"/>
          </w:tcPr>
          <w:p>
            <w:pPr>
              <w:pStyle w:val="3"/>
              <w:keepNext w:val="0"/>
              <w:keepLines w:val="0"/>
              <w:widowControl/>
              <w:suppressLineNumbers w:val="0"/>
              <w:spacing w:line="390" w:lineRule="atLeast"/>
            </w:pPr>
            <w:r>
              <w:rPr>
                <w:rFonts w:hint="default" w:ascii="Verdana" w:hAnsi="Verdana" w:eastAsia="宋体" w:cs="Verdana"/>
                <w:color w:val="000000"/>
                <w:sz w:val="16"/>
                <w:szCs w:val="16"/>
              </w:rPr>
              <w:t>0</w:t>
            </w:r>
          </w:p>
        </w:tc>
      </w:tr>
    </w:tbl>
    <w:p>
      <w:pPr>
        <w:pStyle w:val="3"/>
        <w:keepNext w:val="0"/>
        <w:keepLines w:val="0"/>
        <w:widowControl/>
        <w:suppressLineNumbers w:val="0"/>
      </w:pPr>
      <w:r>
        <w:t>五、存在的主要问题及改进情况</w:t>
      </w:r>
    </w:p>
    <w:p>
      <w:pPr>
        <w:pStyle w:val="3"/>
        <w:keepNext w:val="0"/>
        <w:keepLines w:val="0"/>
        <w:widowControl/>
        <w:suppressLineNumbers w:val="0"/>
      </w:pPr>
      <w:r>
        <w:t>（一）存在的主要问题</w:t>
      </w:r>
    </w:p>
    <w:p>
      <w:pPr>
        <w:pStyle w:val="3"/>
        <w:keepNext w:val="0"/>
        <w:keepLines w:val="0"/>
        <w:widowControl/>
        <w:suppressLineNumbers w:val="0"/>
      </w:pPr>
      <w:r>
        <w:t>一是对新修订的《条例》宣传学习不够；二是少数干部对信息公开重视程度不够；三是统筹协调机制需强化。</w:t>
      </w:r>
    </w:p>
    <w:p>
      <w:pPr>
        <w:pStyle w:val="3"/>
        <w:keepNext w:val="0"/>
        <w:keepLines w:val="0"/>
        <w:widowControl/>
        <w:suppressLineNumbers w:val="0"/>
      </w:pPr>
      <w:r>
        <w:t>（二）改进情况</w:t>
      </w:r>
    </w:p>
    <w:p>
      <w:pPr>
        <w:pStyle w:val="3"/>
        <w:keepNext w:val="0"/>
        <w:keepLines w:val="0"/>
        <w:widowControl/>
        <w:suppressLineNumbers w:val="0"/>
      </w:pPr>
      <w:r>
        <w:t>1、加强学习《中华人民共和国政府信息公开条例》，对照条例，查漏补缺，更加科学规范地编制公开目录；</w:t>
      </w:r>
    </w:p>
    <w:p>
      <w:pPr>
        <w:pStyle w:val="3"/>
        <w:keepNext w:val="0"/>
        <w:keepLines w:val="0"/>
        <w:widowControl/>
        <w:suppressLineNumbers w:val="0"/>
      </w:pPr>
      <w:r>
        <w:t>2、加强对政务公开工作的指导和监督，健全责任追究制度，反馈制度，确保政务公开工作落到实处。</w:t>
      </w:r>
    </w:p>
    <w:p>
      <w:pPr>
        <w:pStyle w:val="3"/>
        <w:keepNext w:val="0"/>
        <w:keepLines w:val="0"/>
        <w:widowControl/>
        <w:suppressLineNumbers w:val="0"/>
      </w:pPr>
      <w:r>
        <w:t>3、进一步完善政务信息公开工作标准建设，提高公开质量，理顺政务公开机制。</w:t>
      </w:r>
    </w:p>
    <w:p>
      <w:pPr>
        <w:pStyle w:val="3"/>
        <w:keepNext w:val="0"/>
        <w:keepLines w:val="0"/>
        <w:widowControl/>
        <w:suppressLineNumbers w:val="0"/>
      </w:pPr>
      <w:r>
        <w:t>六、其他需要报告的事项</w:t>
      </w:r>
    </w:p>
    <w:p>
      <w:pPr>
        <w:pStyle w:val="3"/>
        <w:keepNext w:val="0"/>
        <w:keepLines w:val="0"/>
        <w:widowControl/>
        <w:suppressLineNumbers w:val="0"/>
      </w:pPr>
      <w:r>
        <w:t>（一）政府热线处理情况</w:t>
      </w:r>
    </w:p>
    <w:p>
      <w:pPr>
        <w:pStyle w:val="3"/>
        <w:keepNext w:val="0"/>
        <w:keepLines w:val="0"/>
        <w:widowControl/>
        <w:suppressLineNumbers w:val="0"/>
      </w:pPr>
      <w:r>
        <w:t>2019年全年受理“12345”政府热线208条，全部按时限办理完结。</w:t>
      </w:r>
    </w:p>
    <w:p>
      <w:pPr>
        <w:pStyle w:val="3"/>
        <w:keepNext w:val="0"/>
        <w:keepLines w:val="0"/>
        <w:widowControl/>
        <w:suppressLineNumbers w:val="0"/>
      </w:pPr>
      <w:r>
        <w:t>（二）政府信息公开的收费及减免情况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Autospacing="0" w:line="560" w:lineRule="exact"/>
        <w:ind w:left="0" w:right="0" w:firstLine="420" w:firstLineChars="200"/>
        <w:jc w:val="left"/>
        <w:textAlignment w:val="auto"/>
      </w:pPr>
      <w:r>
        <w:t>全年未出现政府信息公开的收费及减免情况。</w:t>
      </w:r>
    </w:p>
    <w:p>
      <w:pPr>
        <w:pStyle w:val="3"/>
        <w:keepNext w:val="0"/>
        <w:keepLines w:val="0"/>
        <w:widowControl/>
        <w:suppressLineNumbers w:val="0"/>
        <w:rPr>
          <w:rFonts w:hint="eastAsia"/>
          <w:lang w:val="en-US" w:eastAsia="zh-CN"/>
        </w:rPr>
      </w:pPr>
      <w:r>
        <w:rPr>
          <w:rFonts w:hint="eastAsia"/>
          <w:lang w:val="en-US" w:eastAsia="zh-CN"/>
        </w:rPr>
        <w:t>（三）其他需要报告的事项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Autospacing="0" w:line="560" w:lineRule="exact"/>
        <w:ind w:left="0" w:right="0" w:firstLine="420" w:firstLineChars="200"/>
        <w:jc w:val="left"/>
        <w:textAlignment w:val="auto"/>
        <w:rPr>
          <w:rFonts w:hint="eastAsia"/>
        </w:rPr>
      </w:pPr>
      <w:r>
        <w:rPr>
          <w:rFonts w:hint="eastAsia"/>
        </w:rPr>
        <w:t>本报告的电子版可在</w:t>
      </w:r>
      <w:r>
        <w:rPr>
          <w:rFonts w:hint="eastAsia"/>
          <w:lang w:eastAsia="zh-CN"/>
        </w:rPr>
        <w:t>凤阳县</w:t>
      </w:r>
      <w:r>
        <w:rPr>
          <w:rFonts w:hint="eastAsia"/>
        </w:rPr>
        <w:t>政务公开网站下载。如对本报告有任何疑问，请与</w:t>
      </w:r>
      <w:r>
        <w:rPr>
          <w:rFonts w:hint="eastAsia"/>
          <w:lang w:eastAsia="zh-CN"/>
        </w:rPr>
        <w:t>西泉镇</w:t>
      </w:r>
      <w:r>
        <w:rPr>
          <w:rFonts w:hint="eastAsia"/>
        </w:rPr>
        <w:t>政务公开办公室联系（地址：</w:t>
      </w:r>
      <w:r>
        <w:rPr>
          <w:rFonts w:hint="eastAsia"/>
          <w:lang w:eastAsia="zh-CN"/>
        </w:rPr>
        <w:t>滁州市凤阳县西泉镇蚌西路</w:t>
      </w:r>
      <w:r>
        <w:rPr>
          <w:rFonts w:hint="eastAsia"/>
          <w:lang w:val="en-US" w:eastAsia="zh-CN"/>
        </w:rPr>
        <w:t>80号</w:t>
      </w:r>
      <w:r>
        <w:rPr>
          <w:rFonts w:hint="eastAsia"/>
        </w:rPr>
        <w:t>）；电话：055</w:t>
      </w:r>
      <w:r>
        <w:rPr>
          <w:rFonts w:hint="eastAsia"/>
          <w:lang w:val="en-US" w:eastAsia="zh-CN"/>
        </w:rPr>
        <w:t>0</w:t>
      </w:r>
      <w:r>
        <w:rPr>
          <w:rFonts w:hint="eastAsia"/>
        </w:rPr>
        <w:t>-</w:t>
      </w:r>
      <w:r>
        <w:rPr>
          <w:rFonts w:hint="eastAsia"/>
          <w:lang w:val="en-US" w:eastAsia="zh-CN"/>
        </w:rPr>
        <w:t>2225801</w:t>
      </w:r>
      <w:r>
        <w:rPr>
          <w:rFonts w:hint="eastAsia"/>
        </w:rPr>
        <w:t>；邮编：23</w:t>
      </w:r>
      <w:r>
        <w:rPr>
          <w:rFonts w:hint="eastAsia"/>
          <w:lang w:val="en-US" w:eastAsia="zh-CN"/>
        </w:rPr>
        <w:t>3100</w:t>
      </w:r>
      <w:r>
        <w:rPr>
          <w:rFonts w:hint="eastAsia"/>
        </w:rPr>
        <w:t>）。</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558E2"/>
    <w:rsid w:val="12F558E2"/>
    <w:rsid w:val="1E944B54"/>
    <w:rsid w:val="2AD7475E"/>
    <w:rsid w:val="5CFD6F1C"/>
    <w:rsid w:val="6B0067E7"/>
    <w:rsid w:val="7ECD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ad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2020-01-17T08:12:00Z</dcterms:created>
  <dc:creator>－再见·青春</dc:creator>
  <cp:lastModifiedBy>耿耿</cp:lastModifiedBy>
  <dcterms:modified xsi:type="dcterms:W3CDTF">2020-12-28T02:04:34Z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