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凤阳县应急管理局</w:t>
      </w:r>
    </w:p>
    <w:p>
      <w:pPr>
        <w:widowControl/>
        <w:spacing w:line="56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bCs/>
          <w:kern w:val="0"/>
          <w:sz w:val="44"/>
          <w:szCs w:val="44"/>
        </w:rPr>
        <w:t>20</w:t>
      </w:r>
      <w:r>
        <w:rPr>
          <w:rFonts w:hint="eastAsia" w:ascii="方正小标宋简体" w:hAnsi="宋体" w:eastAsia="方正小标宋简体" w:cs="宋体"/>
          <w:bCs/>
          <w:kern w:val="0"/>
          <w:sz w:val="44"/>
          <w:szCs w:val="44"/>
          <w:lang w:val="en-US" w:eastAsia="zh-CN"/>
        </w:rPr>
        <w:t>21</w:t>
      </w:r>
      <w:r>
        <w:rPr>
          <w:rFonts w:hint="eastAsia" w:ascii="方正小标宋简体" w:hAnsi="宋体" w:eastAsia="方正小标宋简体" w:cs="宋体"/>
          <w:bCs/>
          <w:kern w:val="0"/>
          <w:sz w:val="44"/>
          <w:szCs w:val="44"/>
        </w:rPr>
        <w:t>年政府信息公开工作年度报告</w:t>
      </w:r>
    </w:p>
    <w:p>
      <w:pPr>
        <w:widowControl/>
        <w:tabs>
          <w:tab w:val="left" w:pos="1788"/>
        </w:tabs>
        <w:ind w:firstLine="480"/>
        <w:rPr>
          <w:rFonts w:ascii="仿宋_GB2312" w:hAnsi="宋体" w:eastAsia="仿宋_GB2312" w:cs="宋体"/>
          <w:kern w:val="0"/>
          <w:sz w:val="32"/>
          <w:szCs w:val="32"/>
        </w:rPr>
      </w:pPr>
      <w:r>
        <w:rPr>
          <w:rFonts w:ascii="仿宋_GB2312" w:hAnsi="宋体" w:eastAsia="仿宋_GB2312" w:cs="宋体"/>
          <w:kern w:val="0"/>
          <w:sz w:val="32"/>
          <w:szCs w:val="32"/>
        </w:rPr>
        <w:tab/>
      </w:r>
    </w:p>
    <w:p>
      <w:pPr>
        <w:widowControl/>
        <w:tabs>
          <w:tab w:val="left" w:pos="1788"/>
        </w:tabs>
        <w:ind w:firstLine="480"/>
        <w:rPr>
          <w:rFonts w:hint="eastAsia" w:ascii="仿宋_GB2312" w:hAnsi="宋体" w:eastAsia="仿宋_GB2312" w:cs="宋体"/>
          <w:kern w:val="0"/>
          <w:sz w:val="32"/>
          <w:szCs w:val="32"/>
          <w:lang w:val="en-US" w:eastAsia="zh-CN" w:bidi="ar-SA"/>
        </w:rPr>
      </w:pPr>
      <w:r>
        <w:rPr>
          <w:rFonts w:hint="eastAsia" w:ascii="仿宋_GB2312" w:hAnsi="仿宋_GB2312" w:eastAsia="仿宋_GB2312" w:cs="仿宋_GB2312"/>
          <w:i w:val="0"/>
          <w:iCs w:val="0"/>
          <w:caps w:val="0"/>
          <w:color w:val="333333"/>
          <w:spacing w:val="0"/>
          <w:sz w:val="32"/>
          <w:szCs w:val="32"/>
          <w:shd w:val="clear" w:fill="FFFFFF"/>
        </w:rPr>
        <w:t>认真贯彻落实</w:t>
      </w:r>
      <w:r>
        <w:rPr>
          <w:rFonts w:hint="eastAsia" w:ascii="仿宋_GB2312" w:hAnsi="宋体" w:eastAsia="仿宋_GB2312" w:cs="宋体"/>
          <w:kern w:val="0"/>
          <w:sz w:val="32"/>
          <w:szCs w:val="32"/>
          <w:lang w:val="en-US" w:eastAsia="zh-CN" w:bidi="ar-SA"/>
        </w:rPr>
        <w:t>《中华人民共和国政府信息公开条例》（以下简称《条例》）</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rPr>
        <w:t>《安徽省人民政府办公厅关于印发安徽省全面推进基层政务公开标准化规范化工作实施方案的通知》等法律法规</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rPr>
        <w:t>大力推进</w:t>
      </w:r>
      <w:r>
        <w:rPr>
          <w:rFonts w:hint="eastAsia" w:ascii="仿宋_GB2312" w:hAnsi="仿宋_GB2312" w:eastAsia="仿宋_GB2312" w:cs="仿宋_GB2312"/>
          <w:i w:val="0"/>
          <w:iCs w:val="0"/>
          <w:caps w:val="0"/>
          <w:color w:val="333333"/>
          <w:spacing w:val="0"/>
          <w:sz w:val="32"/>
          <w:szCs w:val="32"/>
          <w:shd w:val="clear" w:fill="FFFFFF"/>
          <w:lang w:val="en-US" w:eastAsia="zh-CN"/>
        </w:rPr>
        <w:t>基层政务公开标准化规范化</w:t>
      </w:r>
      <w:r>
        <w:rPr>
          <w:rFonts w:hint="eastAsia" w:ascii="仿宋_GB2312" w:hAnsi="仿宋_GB2312" w:eastAsia="仿宋_GB2312" w:cs="仿宋_GB2312"/>
          <w:i w:val="0"/>
          <w:iCs w:val="0"/>
          <w:caps w:val="0"/>
          <w:color w:val="333333"/>
          <w:spacing w:val="0"/>
          <w:sz w:val="32"/>
          <w:szCs w:val="32"/>
          <w:shd w:val="clear" w:fill="FFFFFF"/>
        </w:rPr>
        <w:t>政府信息公开机构建设，不断规范政府信息公开制度，努力提高政府信息公开水平。</w:t>
      </w:r>
      <w:r>
        <w:rPr>
          <w:rFonts w:hint="eastAsia" w:ascii="仿宋_GB2312" w:hAnsi="宋体" w:eastAsia="仿宋_GB2312" w:cs="宋体"/>
          <w:kern w:val="0"/>
          <w:sz w:val="32"/>
          <w:szCs w:val="32"/>
          <w:lang w:val="en-US" w:eastAsia="zh-CN" w:bidi="ar-SA"/>
        </w:rPr>
        <w:t>特公布2021年凤阳县应急管理局政府信息公开工作年度报告。本报告由政府信息公开总体情况、主动公开政府信息情况、收到和处理政府信息公开申请情况、行政复议和诉讼情况，工作存在的主要问题及改进情况、其他需要报告的事项六个部分组成。本报告中所列数据的统计期限自2021年1月1日起至2021年12月31日止。</w:t>
      </w:r>
    </w:p>
    <w:p>
      <w:pPr>
        <w:widowControl/>
        <w:spacing w:line="680" w:lineRule="exact"/>
        <w:ind w:firstLine="636" w:firstLineChars="199"/>
        <w:rPr>
          <w:rFonts w:hint="eastAsia" w:ascii="黑体" w:hAnsi="黑体" w:eastAsia="黑体" w:cs="宋体"/>
          <w:b w:val="0"/>
          <w:bCs w:val="0"/>
          <w:kern w:val="0"/>
          <w:sz w:val="32"/>
          <w:szCs w:val="32"/>
        </w:rPr>
      </w:pPr>
      <w:r>
        <w:rPr>
          <w:rFonts w:hint="eastAsia" w:ascii="黑体" w:hAnsi="黑体" w:eastAsia="黑体" w:cs="宋体"/>
          <w:b w:val="0"/>
          <w:bCs w:val="0"/>
          <w:kern w:val="0"/>
          <w:sz w:val="32"/>
          <w:szCs w:val="32"/>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both"/>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推进政府信息公开是凤阳县应急管理局贯彻落实《条例》的重要举措，是深入推行政务公开，转变政府职能，实现管理创新，建设人民满意的服务型政府的一项重要工作。我局高度重视信息公开工作，按照《</w:t>
      </w:r>
      <w:r>
        <w:rPr>
          <w:rFonts w:hint="eastAsia" w:ascii="仿宋_GB2312" w:eastAsia="仿宋_GB2312" w:cs="宋体"/>
          <w:kern w:val="0"/>
          <w:sz w:val="32"/>
          <w:szCs w:val="32"/>
          <w:lang w:val="en-US" w:eastAsia="zh-CN"/>
        </w:rPr>
        <w:t>条例</w:t>
      </w:r>
      <w:r>
        <w:rPr>
          <w:rFonts w:hint="eastAsia" w:ascii="仿宋_GB2312" w:hAnsi="宋体" w:eastAsia="仿宋_GB2312" w:cs="宋体"/>
          <w:kern w:val="0"/>
          <w:sz w:val="32"/>
          <w:szCs w:val="32"/>
        </w:rPr>
        <w:t>》的要求，认真组织学习并对照文件精神积极有序稳妥推进政府信息公开工作。县应急管理局成立了政府信息公开领导小组，主要领导和分管领导主抓，办公室具体抓，各股(室)配合，分工专人具体承办；建立了《凤阳县应急管理局政府信息公开审核制度》、《依申请公开政府信息工作制度》；编制并更新了《凤阳县应急管理局政府信息公开指南》和《凤阳县应急管理局政府信息公开内容目录》等。20</w:t>
      </w:r>
      <w:r>
        <w:rPr>
          <w:rFonts w:hint="eastAsia" w:ascii="仿宋_GB2312" w:hAnsi="宋体" w:eastAsia="仿宋_GB2312" w:cs="宋体"/>
          <w:kern w:val="0"/>
          <w:sz w:val="32"/>
          <w:szCs w:val="32"/>
          <w:lang w:val="en-US" w:eastAsia="zh-CN"/>
        </w:rPr>
        <w:t>2</w:t>
      </w:r>
      <w:r>
        <w:rPr>
          <w:rFonts w:hint="eastAsia" w:ascii="仿宋_GB2312" w:eastAsia="仿宋_GB2312" w:cs="宋体"/>
          <w:kern w:val="0"/>
          <w:sz w:val="32"/>
          <w:szCs w:val="32"/>
          <w:lang w:val="en-US" w:eastAsia="zh-CN"/>
        </w:rPr>
        <w:t>1</w:t>
      </w:r>
      <w:r>
        <w:rPr>
          <w:rFonts w:hint="eastAsia" w:ascii="仿宋_GB2312" w:hAnsi="宋体" w:eastAsia="仿宋_GB2312" w:cs="宋体"/>
          <w:kern w:val="0"/>
          <w:sz w:val="32"/>
          <w:szCs w:val="32"/>
        </w:rPr>
        <w:t>年我局政府信息公开工作在深化公开内容、建立和完善各项制度、规范公开载体形式、加强基础性建设工作等方面取得了新的进展。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both"/>
        <w:rPr>
          <w:rFonts w:hint="eastAsia" w:ascii="仿宋_GB2312" w:hAnsi="宋体" w:eastAsia="仿宋_GB2312" w:cs="宋体"/>
          <w:kern w:val="0"/>
          <w:sz w:val="32"/>
          <w:szCs w:val="32"/>
        </w:rPr>
      </w:pPr>
      <w:r>
        <w:rPr>
          <w:rFonts w:hint="eastAsia" w:ascii="楷体_GB2312" w:hAnsi="Times New Roman" w:eastAsia="楷体_GB2312" w:cs="Times New Roman"/>
          <w:kern w:val="2"/>
          <w:sz w:val="32"/>
          <w:szCs w:val="32"/>
          <w:shd w:val="clear" w:color="auto" w:fill="FFFFFF"/>
          <w:lang w:val="en-US" w:eastAsia="zh-CN" w:bidi="ar-SA"/>
        </w:rPr>
        <w:t>（一）主动公开情况。</w:t>
      </w:r>
      <w:r>
        <w:rPr>
          <w:rFonts w:hint="eastAsia" w:ascii="仿宋_GB2312" w:hAnsi="宋体" w:eastAsia="仿宋_GB2312" w:cs="宋体"/>
          <w:kern w:val="0"/>
          <w:sz w:val="32"/>
          <w:szCs w:val="32"/>
        </w:rPr>
        <w:t>深入推进决策公开、执行和结果公开、管理和服务公开，深化重点领域信息公开。全年主动发布各类政府信息已达到要求数量。</w:t>
      </w:r>
      <w:r>
        <w:rPr>
          <w:rFonts w:hint="eastAsia" w:ascii="仿宋_GB2312" w:eastAsia="仿宋_GB2312" w:cs="宋体"/>
          <w:kern w:val="0"/>
          <w:sz w:val="32"/>
          <w:szCs w:val="32"/>
          <w:lang w:val="en-US" w:eastAsia="zh-CN"/>
        </w:rPr>
        <w:t>其中已发布信息数目557条，未发布信息数目10条，发布信息总数目567条。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both"/>
        <w:rPr>
          <w:rFonts w:hint="eastAsia" w:ascii="仿宋_GB2312" w:hAnsi="宋体" w:eastAsia="仿宋_GB2312" w:cs="宋体"/>
          <w:kern w:val="0"/>
          <w:sz w:val="32"/>
          <w:szCs w:val="32"/>
        </w:rPr>
      </w:pPr>
      <w:r>
        <w:rPr>
          <w:rFonts w:hint="eastAsia" w:ascii="楷体_GB2312" w:hAnsi="Times New Roman" w:eastAsia="楷体_GB2312" w:cs="Times New Roman"/>
          <w:kern w:val="2"/>
          <w:sz w:val="32"/>
          <w:szCs w:val="32"/>
          <w:shd w:val="clear" w:color="auto" w:fill="FFFFFF"/>
          <w:lang w:val="en-US" w:eastAsia="zh-CN" w:bidi="ar-SA"/>
        </w:rPr>
        <w:t>（二）依申请公开情况。</w:t>
      </w:r>
      <w:r>
        <w:rPr>
          <w:rFonts w:hint="eastAsia" w:ascii="仿宋_GB2312" w:hAnsi="宋体" w:eastAsia="仿宋_GB2312" w:cs="宋体"/>
          <w:kern w:val="0"/>
          <w:sz w:val="32"/>
          <w:szCs w:val="32"/>
        </w:rPr>
        <w:t>全年通过网络平台、信函等方式收到信息公开申请0件，其中予以公开0件，部分公开0件，属于国家秘密、过程类信息等情形依法不予公开0件，非本部门制作或保存的政府信息导致无法提供的0件，依法不予处理0件，转结下一年办理0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both"/>
        <w:rPr>
          <w:rFonts w:hint="eastAsia" w:ascii="仿宋_GB2312" w:hAnsi="宋体" w:eastAsia="仿宋_GB2312" w:cs="宋体"/>
          <w:kern w:val="0"/>
          <w:sz w:val="32"/>
          <w:szCs w:val="32"/>
        </w:rPr>
      </w:pPr>
      <w:r>
        <w:rPr>
          <w:rFonts w:hint="eastAsia" w:ascii="楷体_GB2312" w:hAnsi="Times New Roman" w:eastAsia="楷体_GB2312" w:cs="Times New Roman"/>
          <w:kern w:val="2"/>
          <w:sz w:val="32"/>
          <w:szCs w:val="32"/>
          <w:shd w:val="clear" w:color="auto" w:fill="FFFFFF"/>
          <w:lang w:val="en-US" w:eastAsia="zh-CN" w:bidi="ar-SA"/>
        </w:rPr>
        <w:t>（三）政府信息管理。</w:t>
      </w:r>
      <w:r>
        <w:rPr>
          <w:rFonts w:hint="eastAsia" w:ascii="仿宋_GB2312" w:hAnsi="宋体" w:eastAsia="仿宋_GB2312" w:cs="宋体"/>
          <w:kern w:val="0"/>
          <w:sz w:val="32"/>
          <w:szCs w:val="32"/>
        </w:rPr>
        <w:t>根据要求，全面、及时、准确、规范地公开可以公开的政府信息，并且遵循“先审核后公开”的原则，对政府信息予以严格把关，在公文拟定时就确定文件是否主动公开，做到依制度、依程序进行。目前对可公开的信息及时在政府信息公开网站予以了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both"/>
        <w:rPr>
          <w:rFonts w:hint="eastAsia" w:ascii="仿宋_GB2312" w:hAnsi="宋体" w:eastAsia="仿宋_GB2312" w:cs="宋体"/>
          <w:kern w:val="0"/>
          <w:sz w:val="32"/>
          <w:szCs w:val="32"/>
        </w:rPr>
      </w:pPr>
      <w:r>
        <w:rPr>
          <w:rFonts w:hint="eastAsia" w:ascii="楷体_GB2312" w:hAnsi="Times New Roman" w:eastAsia="楷体_GB2312" w:cs="Times New Roman"/>
          <w:kern w:val="2"/>
          <w:sz w:val="32"/>
          <w:szCs w:val="32"/>
          <w:shd w:val="clear" w:color="auto" w:fill="FFFFFF"/>
          <w:lang w:val="en-US" w:eastAsia="zh-CN" w:bidi="ar-SA"/>
        </w:rPr>
        <w:t>（四）平台建设。</w:t>
      </w:r>
      <w:r>
        <w:rPr>
          <w:rFonts w:hint="eastAsia" w:ascii="仿宋_GB2312" w:hAnsi="宋体" w:eastAsia="仿宋_GB2312" w:cs="宋体"/>
          <w:kern w:val="0"/>
          <w:sz w:val="32"/>
          <w:szCs w:val="32"/>
        </w:rPr>
        <w:t>为让广大群众多渠道地了解安全生产和应急管理信息，通过网络、投诉箱及电话等形式，将群众单方面接受信息延伸为群众与政府的互动交流，从而真正达到提高办事效率、服务广大群众的目的。已通过凤阳县人民政府网站等多种形式公开安全生产和应急救援动态等信息，对机构设置、安全生产、应急救援、财务、人事任免、法规政策解读、回应关切等内容，按照能公开全公开的要求逐一进行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both"/>
        <w:rPr>
          <w:rFonts w:hint="eastAsia" w:ascii="仿宋_GB2312" w:hAnsi="宋体" w:eastAsia="仿宋_GB2312" w:cs="宋体"/>
          <w:kern w:val="0"/>
          <w:sz w:val="32"/>
          <w:szCs w:val="32"/>
        </w:rPr>
      </w:pPr>
      <w:r>
        <w:rPr>
          <w:rFonts w:hint="eastAsia" w:ascii="楷体_GB2312" w:hAnsi="Times New Roman" w:eastAsia="楷体_GB2312" w:cs="Times New Roman"/>
          <w:kern w:val="2"/>
          <w:sz w:val="32"/>
          <w:szCs w:val="32"/>
          <w:shd w:val="clear" w:color="auto" w:fill="FFFFFF"/>
          <w:lang w:val="en-US" w:eastAsia="zh-CN" w:bidi="ar-SA"/>
        </w:rPr>
        <w:t>（五）监督保障。</w:t>
      </w:r>
      <w:r>
        <w:rPr>
          <w:rFonts w:hint="eastAsia" w:ascii="仿宋_GB2312" w:hAnsi="宋体" w:eastAsia="仿宋_GB2312" w:cs="宋体"/>
          <w:kern w:val="0"/>
          <w:sz w:val="32"/>
          <w:szCs w:val="32"/>
        </w:rPr>
        <w:t>依据中央、省、市、县有关统筹规范督查检查考核工作的要求，将政府信息公开考核制度已纳入年度部门绩效工作考核评价。信息公开社会评议制度参照全国政府信息公开工作机构委托第三方机构开展社会评估的方法，通过第三方评估机构对政府信息公开工作进行评估，根据社会评议结果整改落实，全年完成信息公开，无责任追究情况发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s="宋体"/>
          <w:kern w:val="0"/>
          <w:sz w:val="32"/>
          <w:szCs w:val="32"/>
          <w:lang w:val="en-US" w:eastAsia="zh-CN"/>
        </w:rPr>
      </w:pPr>
      <w:r>
        <w:rPr>
          <w:rFonts w:hint="eastAsia" w:ascii="楷体_GB2312" w:hAnsi="Times New Roman" w:eastAsia="楷体_GB2312" w:cs="Times New Roman"/>
          <w:kern w:val="2"/>
          <w:sz w:val="32"/>
          <w:szCs w:val="32"/>
          <w:shd w:val="clear" w:color="auto" w:fill="FFFFFF"/>
          <w:lang w:val="en-US" w:eastAsia="zh-CN" w:bidi="ar-SA"/>
        </w:rPr>
        <w:t>（六）重点领域信息公开情况。</w:t>
      </w:r>
      <w:r>
        <w:rPr>
          <w:rFonts w:hint="eastAsia" w:ascii="仿宋_GB2312" w:hAnsi="宋体" w:eastAsia="仿宋_GB2312" w:cs="宋体"/>
          <w:kern w:val="0"/>
          <w:sz w:val="32"/>
          <w:szCs w:val="32"/>
        </w:rPr>
        <w:t>认真贯彻落实国务院安委办、应急管理部和省委省政府安全生产工作部署，深刻汲取近期省内外各类事故教训，结合当前安全生产特点，</w:t>
      </w:r>
      <w:r>
        <w:rPr>
          <w:rFonts w:hint="eastAsia" w:ascii="仿宋_GB2312" w:eastAsia="仿宋_GB2312" w:cs="宋体"/>
          <w:kern w:val="0"/>
          <w:sz w:val="32"/>
          <w:szCs w:val="32"/>
          <w:lang w:val="en-US" w:eastAsia="zh-CN"/>
        </w:rPr>
        <w:t>我</w:t>
      </w:r>
      <w:r>
        <w:rPr>
          <w:rFonts w:hint="eastAsia" w:ascii="仿宋_GB2312" w:hAnsi="宋体" w:eastAsia="仿宋_GB2312" w:cs="宋体"/>
          <w:kern w:val="0"/>
          <w:sz w:val="32"/>
          <w:szCs w:val="32"/>
        </w:rPr>
        <w:t>局明确工作思路，统一思想认识，落实职责责任，强化保障措施，统筹做好重点行业领域安全生产工作，在全县范围内持续开展重点行业领域安全生产风险隐患排查治理专项整治行动。</w:t>
      </w:r>
      <w:r>
        <w:rPr>
          <w:rFonts w:hint="eastAsia" w:ascii="仿宋_GB2312" w:eastAsia="仿宋_GB2312" w:cs="宋体"/>
          <w:kern w:val="0"/>
          <w:sz w:val="32"/>
          <w:szCs w:val="32"/>
          <w:lang w:val="en-US" w:eastAsia="zh-CN"/>
        </w:rPr>
        <w:t>其中安全生产领域发布信息条数220条，救灾领域发布信息条数104条。</w:t>
      </w:r>
    </w:p>
    <w:p>
      <w:pPr>
        <w:keepNext w:val="0"/>
        <w:keepLines w:val="0"/>
        <w:pageBreakBefore w:val="0"/>
        <w:widowControl/>
        <w:numPr>
          <w:ilvl w:val="0"/>
          <w:numId w:val="0"/>
        </w:numPr>
        <w:kinsoku/>
        <w:wordWrap/>
        <w:overflowPunct/>
        <w:topLinePunct w:val="0"/>
        <w:autoSpaceDE/>
        <w:autoSpaceDN/>
        <w:bidi w:val="0"/>
        <w:adjustRightInd/>
        <w:snapToGrid/>
        <w:spacing w:line="680" w:lineRule="exact"/>
        <w:textAlignment w:val="auto"/>
        <w:rPr>
          <w:rFonts w:hint="eastAsia" w:ascii="黑体" w:hAnsi="黑体" w:eastAsia="黑体" w:cs="宋体"/>
          <w:b w:val="0"/>
          <w:bCs w:val="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80" w:lineRule="exact"/>
        <w:ind w:firstLine="636" w:firstLineChars="199"/>
        <w:textAlignment w:val="auto"/>
        <w:rPr>
          <w:rFonts w:hint="eastAsia" w:ascii="黑体" w:hAnsi="黑体" w:eastAsia="黑体" w:cs="宋体"/>
          <w:b w:val="0"/>
          <w:bCs w:val="0"/>
          <w:kern w:val="0"/>
          <w:sz w:val="32"/>
          <w:szCs w:val="32"/>
        </w:rPr>
      </w:pPr>
      <w:r>
        <w:rPr>
          <w:rFonts w:hint="eastAsia" w:ascii="黑体" w:hAnsi="黑体" w:eastAsia="黑体" w:cs="宋体"/>
          <w:b w:val="0"/>
          <w:bCs w:val="0"/>
          <w:kern w:val="0"/>
          <w:sz w:val="32"/>
          <w:szCs w:val="32"/>
          <w:lang w:val="en-US" w:eastAsia="zh-CN"/>
        </w:rPr>
        <w:t>二、</w:t>
      </w:r>
      <w:r>
        <w:rPr>
          <w:rFonts w:hint="eastAsia" w:ascii="黑体" w:hAnsi="黑体" w:eastAsia="黑体" w:cs="宋体"/>
          <w:b w:val="0"/>
          <w:bCs w:val="0"/>
          <w:kern w:val="0"/>
          <w:sz w:val="32"/>
          <w:szCs w:val="32"/>
        </w:rPr>
        <w:t>主动公开政府信息情况</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1"/>
                <w:szCs w:val="21"/>
                <w:lang w:val="en-US" w:eastAsia="zh-CN" w:bidi="ar"/>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pageBreakBefore w:val="0"/>
        <w:widowControl/>
        <w:numPr>
          <w:ilvl w:val="0"/>
          <w:numId w:val="0"/>
        </w:numPr>
        <w:tabs>
          <w:tab w:val="left" w:pos="441"/>
        </w:tabs>
        <w:kinsoku/>
        <w:wordWrap/>
        <w:overflowPunct/>
        <w:topLinePunct w:val="0"/>
        <w:autoSpaceDE/>
        <w:autoSpaceDN/>
        <w:bidi w:val="0"/>
        <w:adjustRightInd/>
        <w:snapToGrid/>
        <w:spacing w:line="680" w:lineRule="exact"/>
        <w:ind w:firstLine="636" w:firstLineChars="199"/>
        <w:textAlignment w:val="auto"/>
        <w:rPr>
          <w:rFonts w:hint="eastAsia" w:ascii="黑体" w:hAnsi="黑体" w:eastAsia="黑体" w:cs="宋体"/>
          <w:b w:val="0"/>
          <w:bCs w:val="0"/>
          <w:kern w:val="0"/>
          <w:sz w:val="32"/>
          <w:szCs w:val="32"/>
          <w:lang w:eastAsia="zh-CN"/>
        </w:rPr>
      </w:pPr>
      <w:r>
        <w:rPr>
          <w:rFonts w:hint="eastAsia" w:ascii="黑体" w:hAnsi="黑体" w:eastAsia="黑体" w:cs="宋体"/>
          <w:b w:val="0"/>
          <w:bCs w:val="0"/>
          <w:kern w:val="0"/>
          <w:sz w:val="32"/>
          <w:szCs w:val="32"/>
          <w:lang w:val="en-US" w:eastAsia="zh-CN"/>
        </w:rPr>
        <w:t>三、</w:t>
      </w:r>
      <w:r>
        <w:rPr>
          <w:rFonts w:hint="eastAsia" w:ascii="黑体" w:hAnsi="黑体" w:eastAsia="黑体" w:cs="宋体"/>
          <w:b w:val="0"/>
          <w:bCs w:val="0"/>
          <w:kern w:val="0"/>
          <w:sz w:val="32"/>
          <w:szCs w:val="32"/>
        </w:rPr>
        <w:t>收到和处理政府信息公开申请情况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r>
    </w:tbl>
    <w:p>
      <w:pPr>
        <w:keepNext w:val="0"/>
        <w:keepLines w:val="0"/>
        <w:pageBreakBefore w:val="0"/>
        <w:widowControl/>
        <w:numPr>
          <w:ilvl w:val="0"/>
          <w:numId w:val="0"/>
        </w:numPr>
        <w:kinsoku/>
        <w:wordWrap/>
        <w:overflowPunct/>
        <w:topLinePunct w:val="0"/>
        <w:autoSpaceDE/>
        <w:autoSpaceDN/>
        <w:bidi w:val="0"/>
        <w:adjustRightInd/>
        <w:snapToGrid/>
        <w:spacing w:line="680" w:lineRule="exact"/>
        <w:ind w:firstLine="636" w:firstLineChars="199"/>
        <w:textAlignment w:val="auto"/>
        <w:rPr>
          <w:rFonts w:hint="eastAsia" w:ascii="黑体" w:hAnsi="黑体" w:eastAsia="黑体" w:cs="宋体"/>
          <w:b w:val="0"/>
          <w:bCs w:val="0"/>
          <w:kern w:val="0"/>
          <w:sz w:val="32"/>
          <w:szCs w:val="32"/>
          <w:lang w:val="en-US" w:eastAsia="zh-CN"/>
        </w:rPr>
      </w:pPr>
      <w:r>
        <w:rPr>
          <w:rFonts w:hint="eastAsia" w:ascii="黑体" w:hAnsi="黑体" w:eastAsia="黑体" w:cs="宋体"/>
          <w:b w:val="0"/>
          <w:bCs w:val="0"/>
          <w:kern w:val="0"/>
          <w:sz w:val="32"/>
          <w:szCs w:val="32"/>
          <w:lang w:val="en-US" w:eastAsia="zh-CN"/>
        </w:rPr>
        <w:t>四、</w:t>
      </w:r>
      <w:r>
        <w:rPr>
          <w:rFonts w:hint="eastAsia" w:ascii="黑体" w:hAnsi="黑体" w:eastAsia="黑体" w:cs="宋体"/>
          <w:b w:val="0"/>
          <w:bCs w:val="0"/>
          <w:kern w:val="0"/>
          <w:sz w:val="32"/>
          <w:szCs w:val="32"/>
        </w:rPr>
        <w:t>政府信息公开行政复议、行政诉讼情况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黑体" w:hAnsi="宋体" w:eastAsia="黑体" w:cs="黑体"/>
                <w:kern w:val="0"/>
                <w:sz w:val="20"/>
                <w:szCs w:val="20"/>
                <w:lang w:val="en-US" w:eastAsia="zh-CN" w:bidi="ar"/>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宋体" w:eastAsia="黑体" w:cs="黑体"/>
                <w:kern w:val="0"/>
                <w:sz w:val="20"/>
                <w:szCs w:val="20"/>
                <w:lang w:val="en-US" w:eastAsia="zh-CN" w:bidi="ar"/>
              </w:rPr>
            </w:pPr>
            <w:r>
              <w:rPr>
                <w:rFonts w:hint="eastAsia" w:ascii="黑体" w:hAnsi="宋体" w:eastAsia="黑体" w:cs="黑体"/>
                <w:kern w:val="0"/>
                <w:sz w:val="20"/>
                <w:szCs w:val="20"/>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宋体" w:eastAsia="黑体" w:cs="黑体"/>
                <w:kern w:val="0"/>
                <w:sz w:val="20"/>
                <w:szCs w:val="20"/>
                <w:lang w:val="en-US" w:eastAsia="zh-CN" w:bidi="ar"/>
              </w:rPr>
            </w:pPr>
            <w:r>
              <w:rPr>
                <w:rFonts w:hint="eastAsia" w:ascii="黑体" w:hAnsi="宋体" w:eastAsia="黑体" w:cs="黑体"/>
                <w:kern w:val="0"/>
                <w:sz w:val="20"/>
                <w:szCs w:val="20"/>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宋体" w:eastAsia="黑体" w:cs="黑体"/>
                <w:kern w:val="0"/>
                <w:sz w:val="20"/>
                <w:szCs w:val="20"/>
                <w:lang w:val="en-US" w:eastAsia="zh-CN" w:bidi="ar"/>
              </w:rPr>
            </w:pPr>
            <w:r>
              <w:rPr>
                <w:rFonts w:hint="eastAsia" w:ascii="黑体" w:hAnsi="宋体" w:eastAsia="黑体" w:cs="黑体"/>
                <w:kern w:val="0"/>
                <w:sz w:val="20"/>
                <w:szCs w:val="20"/>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宋体" w:eastAsia="黑体" w:cs="黑体"/>
                <w:kern w:val="0"/>
                <w:sz w:val="20"/>
                <w:szCs w:val="20"/>
                <w:lang w:val="en-US" w:eastAsia="zh-CN" w:bidi="ar"/>
              </w:rPr>
            </w:pPr>
            <w:r>
              <w:rPr>
                <w:rFonts w:hint="eastAsia" w:ascii="黑体" w:hAnsi="宋体" w:eastAsia="黑体" w:cs="黑体"/>
                <w:kern w:val="0"/>
                <w:sz w:val="20"/>
                <w:szCs w:val="20"/>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宋体" w:eastAsia="黑体" w:cs="黑体"/>
                <w:kern w:val="0"/>
                <w:sz w:val="20"/>
                <w:szCs w:val="20"/>
                <w:lang w:val="en-US" w:eastAsia="zh-CN" w:bidi="ar"/>
              </w:rPr>
            </w:pPr>
            <w:r>
              <w:rPr>
                <w:rFonts w:hint="eastAsia" w:ascii="黑体" w:hAnsi="宋体" w:eastAsia="黑体" w:cs="黑体"/>
                <w:kern w:val="0"/>
                <w:sz w:val="20"/>
                <w:szCs w:val="20"/>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宋体" w:eastAsia="黑体" w:cs="黑体"/>
                <w:kern w:val="0"/>
                <w:sz w:val="20"/>
                <w:szCs w:val="20"/>
                <w:lang w:val="en-US" w:eastAsia="zh-CN" w:bidi="ar"/>
              </w:rPr>
            </w:pPr>
            <w:r>
              <w:rPr>
                <w:rFonts w:hint="eastAsia" w:ascii="黑体" w:hAnsi="宋体" w:eastAsia="黑体" w:cs="黑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宋体" w:eastAsia="黑体" w:cs="黑体"/>
                <w:kern w:val="0"/>
                <w:sz w:val="20"/>
                <w:szCs w:val="20"/>
                <w:lang w:val="en-US" w:eastAsia="zh-CN" w:bidi="ar"/>
              </w:rPr>
            </w:pPr>
            <w:r>
              <w:rPr>
                <w:rFonts w:hint="eastAsia" w:ascii="黑体" w:hAnsi="宋体" w:eastAsia="黑体" w:cs="黑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宋体" w:eastAsia="黑体" w:cs="黑体"/>
                <w:kern w:val="0"/>
                <w:sz w:val="20"/>
                <w:szCs w:val="20"/>
                <w:lang w:val="en-US" w:eastAsia="zh-CN" w:bidi="ar"/>
              </w:rPr>
            </w:pPr>
            <w:r>
              <w:rPr>
                <w:rFonts w:hint="eastAsia" w:ascii="黑体" w:hAnsi="宋体" w:eastAsia="黑体" w:cs="黑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宋体" w:eastAsia="黑体" w:cs="黑体"/>
                <w:kern w:val="0"/>
                <w:sz w:val="20"/>
                <w:szCs w:val="20"/>
                <w:lang w:val="en-US" w:eastAsia="zh-CN" w:bidi="ar"/>
              </w:rPr>
            </w:pPr>
            <w:r>
              <w:rPr>
                <w:rFonts w:hint="eastAsia" w:ascii="黑体" w:hAnsi="宋体" w:eastAsia="黑体" w:cs="黑体"/>
                <w:kern w:val="0"/>
                <w:sz w:val="20"/>
                <w:szCs w:val="20"/>
                <w:lang w:val="en-US" w:eastAsia="zh-CN" w:bidi="ar"/>
              </w:rPr>
              <w:t>0</w:t>
            </w:r>
          </w:p>
        </w:tc>
      </w:tr>
    </w:tbl>
    <w:p>
      <w:pPr>
        <w:keepNext w:val="0"/>
        <w:keepLines w:val="0"/>
        <w:pageBreakBefore w:val="0"/>
        <w:widowControl/>
        <w:numPr>
          <w:ilvl w:val="0"/>
          <w:numId w:val="0"/>
        </w:numPr>
        <w:kinsoku/>
        <w:wordWrap/>
        <w:overflowPunct/>
        <w:topLinePunct w:val="0"/>
        <w:autoSpaceDE/>
        <w:autoSpaceDN/>
        <w:bidi w:val="0"/>
        <w:adjustRightInd/>
        <w:snapToGrid/>
        <w:spacing w:line="680" w:lineRule="exact"/>
        <w:ind w:firstLine="636" w:firstLineChars="199"/>
        <w:textAlignment w:val="auto"/>
        <w:rPr>
          <w:rFonts w:hint="eastAsia" w:ascii="黑体" w:hAnsi="黑体" w:eastAsia="黑体" w:cs="宋体"/>
          <w:b w:val="0"/>
          <w:bCs w:val="0"/>
          <w:kern w:val="0"/>
          <w:sz w:val="32"/>
          <w:szCs w:val="32"/>
          <w:lang w:val="en-US" w:eastAsia="zh-CN"/>
        </w:rPr>
      </w:pPr>
      <w:r>
        <w:rPr>
          <w:rFonts w:hint="eastAsia" w:ascii="黑体" w:hAnsi="黑体" w:eastAsia="黑体" w:cs="宋体"/>
          <w:b w:val="0"/>
          <w:bCs w:val="0"/>
          <w:kern w:val="0"/>
          <w:sz w:val="32"/>
          <w:szCs w:val="32"/>
          <w:lang w:val="en-US" w:eastAsia="zh-CN"/>
        </w:rPr>
        <w:t>五、</w:t>
      </w:r>
      <w:r>
        <w:rPr>
          <w:rFonts w:hint="eastAsia" w:ascii="黑体" w:hAnsi="黑体" w:eastAsia="黑体" w:cs="宋体"/>
          <w:b w:val="0"/>
          <w:bCs w:val="0"/>
          <w:kern w:val="0"/>
          <w:sz w:val="32"/>
          <w:szCs w:val="32"/>
        </w:rPr>
        <w:t>存在的主要问题及改进</w:t>
      </w:r>
      <w:r>
        <w:rPr>
          <w:rFonts w:hint="eastAsia" w:ascii="黑体" w:hAnsi="黑体" w:eastAsia="黑体" w:cs="宋体"/>
          <w:b w:val="0"/>
          <w:bCs w:val="0"/>
          <w:kern w:val="0"/>
          <w:sz w:val="32"/>
          <w:szCs w:val="32"/>
          <w:lang w:val="en-US" w:eastAsia="zh-CN"/>
        </w:rPr>
        <w:t>情况</w:t>
      </w:r>
    </w:p>
    <w:p>
      <w:pPr>
        <w:widowControl/>
        <w:ind w:firstLine="480"/>
        <w:rPr>
          <w:rFonts w:hint="eastAsia" w:ascii="楷体_GB2312" w:eastAsia="楷体_GB2312"/>
          <w:sz w:val="32"/>
          <w:szCs w:val="32"/>
          <w:shd w:val="clear" w:color="auto" w:fill="FFFFFF"/>
        </w:rPr>
      </w:pPr>
      <w:r>
        <w:rPr>
          <w:rFonts w:hint="eastAsia" w:ascii="楷体_GB2312" w:eastAsia="楷体_GB2312"/>
          <w:sz w:val="32"/>
          <w:szCs w:val="32"/>
          <w:shd w:val="clear" w:color="auto" w:fill="FFFFFF"/>
        </w:rPr>
        <w:t>（一）存在的主要问题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20</w:t>
      </w:r>
      <w:r>
        <w:rPr>
          <w:rFonts w:hint="eastAsia" w:ascii="仿宋_GB2312" w:eastAsia="仿宋_GB2312"/>
          <w:sz w:val="32"/>
          <w:szCs w:val="32"/>
          <w:shd w:val="clear" w:color="auto" w:fill="FFFFFF"/>
          <w:lang w:val="en-US" w:eastAsia="zh-CN"/>
        </w:rPr>
        <w:t>21</w:t>
      </w:r>
      <w:r>
        <w:rPr>
          <w:rFonts w:hint="eastAsia" w:ascii="仿宋_GB2312" w:eastAsia="仿宋_GB2312"/>
          <w:sz w:val="32"/>
          <w:szCs w:val="32"/>
          <w:shd w:val="clear" w:color="auto" w:fill="FFFFFF"/>
        </w:rPr>
        <w:t>年，我局政务信息公开工作虽然取得了一定进展，但离县委、县政府和人民群众的要求还有一定的差距，主要表现有：</w:t>
      </w:r>
      <w:r>
        <w:rPr>
          <w:rFonts w:hint="eastAsia" w:ascii="仿宋_GB2312" w:hAnsi="Times New Roman" w:eastAsia="仿宋_GB2312" w:cs="Times New Roman"/>
          <w:sz w:val="32"/>
          <w:szCs w:val="32"/>
          <w:shd w:val="clear" w:color="auto" w:fill="FFFFFF"/>
          <w:lang w:val="en-US" w:eastAsia="zh-CN"/>
        </w:rPr>
        <w:t>一是工作任务繁重，人员相对匮乏。二是队伍建设有待加强，专业素质还需进一步提高。三是政务公开形式单一、内容不够丰富，质量有待进一步提高。四是政务公开现有制度执行力度还有待进一步加强。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黑体" w:eastAsia="楷体_GB2312"/>
          <w:sz w:val="32"/>
          <w:szCs w:val="32"/>
        </w:rPr>
      </w:pPr>
      <w:r>
        <w:rPr>
          <w:rFonts w:hint="eastAsia" w:ascii="楷体_GB2312" w:hAnsi="黑体" w:eastAsia="楷体_GB2312"/>
          <w:sz w:val="32"/>
          <w:szCs w:val="32"/>
        </w:rPr>
        <w:t>（二）改进措施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shd w:val="clear" w:color="auto" w:fill="FFFFFF"/>
        </w:rPr>
      </w:pPr>
      <w:r>
        <w:rPr>
          <w:rFonts w:hint="eastAsia" w:ascii="仿宋_GB2312" w:eastAsia="仿宋_GB2312"/>
          <w:sz w:val="32"/>
          <w:szCs w:val="32"/>
        </w:rPr>
        <w:t>针对以上问题，我局将</w:t>
      </w:r>
      <w:r>
        <w:rPr>
          <w:rFonts w:hint="eastAsia" w:ascii="仿宋_GB2312" w:eastAsia="仿宋_GB2312"/>
          <w:sz w:val="32"/>
          <w:szCs w:val="32"/>
          <w:shd w:val="clear" w:color="auto" w:fill="FFFFFF"/>
        </w:rPr>
        <w:t>采取以下改进措施：</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Times New Roman" w:eastAsia="仿宋_GB2312" w:cs="Times New Roman"/>
          <w:sz w:val="32"/>
          <w:szCs w:val="32"/>
          <w:shd w:val="clear" w:color="auto" w:fill="FFFFFF"/>
          <w:lang w:val="en-US" w:eastAsia="zh-CN"/>
        </w:rPr>
      </w:pPr>
      <w:r>
        <w:rPr>
          <w:rFonts w:hint="eastAsia" w:ascii="仿宋_GB2312" w:hAnsi="Times New Roman" w:eastAsia="仿宋_GB2312" w:cs="Times New Roman"/>
          <w:b/>
          <w:bCs/>
          <w:sz w:val="32"/>
          <w:szCs w:val="32"/>
          <w:shd w:val="clear" w:color="auto" w:fill="FFFFFF"/>
          <w:lang w:val="en-US" w:eastAsia="zh-CN"/>
        </w:rPr>
        <w:t>一是进一步加强人员配置。</w:t>
      </w:r>
      <w:r>
        <w:rPr>
          <w:rFonts w:hint="eastAsia" w:ascii="仿宋_GB2312" w:hAnsi="Times New Roman" w:eastAsia="仿宋_GB2312" w:cs="Times New Roman"/>
          <w:sz w:val="32"/>
          <w:szCs w:val="32"/>
          <w:shd w:val="clear" w:color="auto" w:fill="FFFFFF"/>
          <w:lang w:val="en-US" w:eastAsia="zh-CN"/>
        </w:rPr>
        <w:t>针对工作任务繁重，人员相对匮乏的问题，通过跟局领导沟通，获得局领导的高度重视，及时调整了由局主要负责人任组长、办公室主任任副组长、各股室负责同志、具体信息员为成员的局政务公开工作领导小组。</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仿宋_GB2312" w:hAnsi="Times New Roman" w:eastAsia="仿宋_GB2312" w:cs="Times New Roman"/>
          <w:sz w:val="32"/>
          <w:szCs w:val="32"/>
          <w:shd w:val="clear" w:color="auto"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二是进一步提高思想认识。</w:t>
      </w:r>
      <w:r>
        <w:rPr>
          <w:rFonts w:hint="eastAsia" w:ascii="仿宋_GB2312" w:hAnsi="Times New Roman" w:eastAsia="仿宋_GB2312" w:cs="Times New Roman"/>
          <w:sz w:val="32"/>
          <w:szCs w:val="32"/>
          <w:shd w:val="clear" w:color="auto" w:fill="FFFFFF"/>
          <w:lang w:val="en-US" w:eastAsia="zh-CN"/>
        </w:rPr>
        <w:t>牢固树立“公开是常态、不公开是例外”的思想意识，把推进政府信息公开工作作为密切党群关系、加强政府自身建设的重要载体和主要抓手，紧紧围绕政府信息公开重点工作任务，全面落实“五公开”各项具体要求。</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三是进一步深化公开内容</w:t>
      </w:r>
      <w:r>
        <w:rPr>
          <w:rFonts w:hint="eastAsia" w:ascii="楷体" w:hAnsi="楷体" w:eastAsia="楷体" w:cs="楷体"/>
          <w:b/>
          <w:bCs/>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突出公开重点，充分利用依申请公开、政策咨询等途径，持续加大对信息公开工作以及涉及群众切身利益、公共事务等情况的公开力度，提高公开透明度。</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四</w:t>
      </w:r>
      <w:bookmarkStart w:id="0" w:name="_GoBack"/>
      <w:bookmarkEnd w:id="0"/>
      <w:r>
        <w:rPr>
          <w:rFonts w:hint="eastAsia" w:ascii="仿宋_GB2312" w:hAnsi="仿宋_GB2312" w:eastAsia="仿宋_GB2312" w:cs="仿宋_GB2312"/>
          <w:b/>
          <w:bCs/>
          <w:i w:val="0"/>
          <w:iCs w:val="0"/>
          <w:caps w:val="0"/>
          <w:color w:val="333333"/>
          <w:spacing w:val="0"/>
          <w:sz w:val="32"/>
          <w:szCs w:val="32"/>
          <w:shd w:val="clear" w:fill="FFFFFF"/>
          <w:lang w:val="en-US" w:eastAsia="zh-CN"/>
        </w:rPr>
        <w:t>是进一步做好“两化”工作。</w:t>
      </w:r>
      <w:r>
        <w:rPr>
          <w:rFonts w:hint="eastAsia" w:ascii="仿宋_GB2312" w:hAnsi="仿宋_GB2312" w:eastAsia="仿宋_GB2312" w:cs="仿宋_GB2312"/>
          <w:i w:val="0"/>
          <w:iCs w:val="0"/>
          <w:caps w:val="0"/>
          <w:color w:val="333333"/>
          <w:spacing w:val="0"/>
          <w:sz w:val="32"/>
          <w:szCs w:val="32"/>
          <w:shd w:val="clear" w:fill="FFFFFF"/>
          <w:lang w:val="en-US" w:eastAsia="zh-CN"/>
        </w:rPr>
        <w:t>制定本单位政务公开实施细则，建立监督员制度，每月监督各栏目信息收集情况。根据凤阳县全面推进基层政务公开标准化规范化工作实施方案要求，全面落实试点领域标准引领，紧贴应急管理实际，增强信息捕捉的敏锐性，体现亮点。增加信息公开的主动性、多样性、权威性、安全性。</w:t>
      </w:r>
    </w:p>
    <w:p>
      <w:pPr>
        <w:keepNext w:val="0"/>
        <w:keepLines w:val="0"/>
        <w:pageBreakBefore w:val="0"/>
        <w:widowControl w:val="0"/>
        <w:kinsoku/>
        <w:wordWrap/>
        <w:overflowPunct/>
        <w:topLinePunct w:val="0"/>
        <w:autoSpaceDE/>
        <w:autoSpaceDN/>
        <w:bidi w:val="0"/>
        <w:adjustRightInd/>
        <w:snapToGrid/>
        <w:spacing w:line="680" w:lineRule="exact"/>
        <w:ind w:left="0" w:firstLine="636" w:firstLineChars="199"/>
        <w:textAlignment w:val="auto"/>
        <w:rPr>
          <w:rFonts w:hint="eastAsia" w:ascii="黑体" w:hAnsi="黑体" w:eastAsia="黑体" w:cs="宋体"/>
          <w:b w:val="0"/>
          <w:bCs w:val="0"/>
          <w:kern w:val="0"/>
          <w:sz w:val="32"/>
          <w:szCs w:val="32"/>
        </w:rPr>
      </w:pPr>
      <w:r>
        <w:rPr>
          <w:rFonts w:hint="eastAsia" w:ascii="黑体" w:hAnsi="黑体" w:eastAsia="黑体" w:cs="宋体"/>
          <w:b w:val="0"/>
          <w:bCs w:val="0"/>
          <w:kern w:val="0"/>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按照《国务院办公厅关于印发〈政府信息公开信息处理费管理办法〉的通知》（国办函〔2020〕109号）规定的按件、按量收费标准，本年度没有产生信息公开处理费。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0B4C26"/>
    <w:rsid w:val="0EED5AC9"/>
    <w:rsid w:val="18B17656"/>
    <w:rsid w:val="244E6AB1"/>
    <w:rsid w:val="33F61327"/>
    <w:rsid w:val="39554298"/>
    <w:rsid w:val="3AC17FE3"/>
    <w:rsid w:val="3C0B4C26"/>
    <w:rsid w:val="40DA1E7F"/>
    <w:rsid w:val="4BB96643"/>
    <w:rsid w:val="52352B08"/>
    <w:rsid w:val="57F6195E"/>
    <w:rsid w:val="58103011"/>
    <w:rsid w:val="5AA64DBF"/>
    <w:rsid w:val="60BA5B29"/>
    <w:rsid w:val="66000360"/>
    <w:rsid w:val="6D543D37"/>
    <w:rsid w:val="70C81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2021-12-13T00:06:00Z</dcterms:created>
  <dc:creator>随&amp;缘</dc:creator>
  <cp:lastModifiedBy>随&amp;缘</cp:lastModifiedBy>
  <dcterms:modified xsi:type="dcterms:W3CDTF">2022-01-14T00:38:28Z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A30ACD66021D4DDEBF59F93BDEFC7F00</vt:lpwstr>
  </property>
</Properties>
</file>