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Times New Roman"/>
          <w:b/>
          <w:bCs/>
          <w:color w:val="auto"/>
          <w:sz w:val="44"/>
          <w:szCs w:val="24"/>
          <w:lang w:val="en-US" w:eastAsia="zh-CN"/>
        </w:rPr>
      </w:pPr>
      <w:r>
        <w:rPr>
          <w:rFonts w:hint="eastAsia" w:ascii="宋体" w:hAnsi="宋体" w:eastAsia="宋体" w:cs="Times New Roman"/>
          <w:b/>
          <w:bCs/>
          <w:color w:val="auto"/>
          <w:sz w:val="44"/>
          <w:szCs w:val="24"/>
          <w:lang w:val="en-US" w:eastAsia="zh-CN"/>
        </w:rPr>
        <w:t>凤阳县退役军人事务局2021年政府信息公开工作年度报告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报告根据修订后的《中华人民共和国政府信息公开条例》和《国务院办公厅政府信息与政务公开办公室关于印发&lt;中华人民共和国政府信息公开工作年度报告格式&gt;的通知》（国办公开办函〔2021〕30号）要求，综合凤阳县退役军人事务局信息公开工作年度报告和有关统计数据形成。由凤阳县退役军人事务局局办公室编制，全文包括：总体情况，主动公开政府信息情况，收到和处理政府信息公开申请情况，政府信息公开行政复议、行政诉讼情况，存在的主要问题及改进情况，其他需要报告的事项等六个部分。本年度报告中使用数据统计期限为2021年1月1日起2021年12月31日止。本报告电子版可在凤阳县人民政府网站信息公开板块（网址：http://www.fengyang.gov.cn/zwgk/index.html）下载，如对本报告有疑问，请与县退役军人事务局局办公室联系（地址：凤阳县府城镇明中都旅游文化商业街C02-5栋1楼，邮编：233100，电话：0550—2559345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2021年，我局认真执行《条例》规定，在县委、县政府的正确领导下和县政务公开办的指导下，进一步加强组织领导，明确责任分工，细化分解任务，加大督导力度，不断推进组织建设、平台建设、制度建设，信息公开工作的积极性、主动性不断提高，信息公开的广度和深度不断增强，工作透明度进一步提高，有效地保障了公民知情权，促进了政府公信力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（一）认真做好主动公开。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凤阳县退役军人事务局认真贯彻落实新修订的《政府信息公开条例》和市、县政务公开办关于政府信息公开工作的一系列决策部署，加强信息发布、解读和回应，依法依规答复信息公开申请等，规范推进政府信息公开常态化、标准化、规范化、制度化水平不断提升。截止2021年12月31日，全年主动发布各类政府信息136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（二）规范依申请公开答复。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2021年县退役军人事务局未收到依申请公开政务信息。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（三）政府信息管理。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2021年我局继续认真做好本单位网站和政务新媒体的平台建设工作，将信息公开的内容作为政务公开工作的核心，严格按照上级政府信息公开要求，安排专人负责信息公开的维护管理和公开信息的编辑、审核。将网站政务动态信息作为政府窗口，不断提供更新速率和数量、丰富内容，加强对系统信息更新的监督管理，有效保证了信息更新速率和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（四）落实政府信息公开平台建设。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2021年在县政府办的统一指导下，严格按照国家、省市县制定的各领域政务公开标准指引，进一步强化栏目信息发布管理，对照第三方监测问题清单，进行认真梳理，全面自查整改。不断加强信息公开平台的建设，充分保证了社会群众对退役军人事务工作的知情权；强化监督保障，夯实政务公开工作基础，加大涉及到个人隐私政府信息的排查工作，保证政务信息发布规范性、及时性和科学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（五）监督保障。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进一步优化我局政务公开信息领导小组结构，完善机构职能。完善内部监督机制，建立长效管理机制，形成用制度规范行为、按制度办事的公开机制，确保政务公开切实得到落实。加强监管，积极做好对政务公开系统的日常监测和月度、季度检查，不定期对不及时更新内容，空栏目等情况进行整改，切实提高管理水平。</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二、主动公开政府信息情况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本年制发件数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color w:val="auto"/>
                <w:sz w:val="21"/>
                <w:szCs w:val="21"/>
                <w:lang w:eastAsia="zh-CN"/>
              </w:rPr>
            </w:pPr>
            <w:r>
              <w:rPr>
                <w:rFonts w:hint="eastAsia" w:ascii="Calibri" w:hAnsi="Calibri" w:eastAsia="宋体" w:cs="Calibri"/>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color w:val="auto"/>
                <w:sz w:val="21"/>
                <w:szCs w:val="21"/>
                <w:lang w:eastAsia="zh-CN"/>
              </w:rPr>
            </w:pPr>
            <w:r>
              <w:rPr>
                <w:rFonts w:hint="eastAsia" w:ascii="宋体" w:hAnsi="宋体" w:eastAsia="宋体" w:cs="宋体"/>
                <w:color w:val="auto"/>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color w:val="auto"/>
                <w:sz w:val="21"/>
                <w:szCs w:val="21"/>
                <w:lang w:eastAsia="zh-CN"/>
              </w:rPr>
            </w:pPr>
            <w:r>
              <w:rPr>
                <w:rFonts w:hint="eastAsia" w:ascii="宋体" w:hAnsi="宋体" w:eastAsia="宋体" w:cs="宋体"/>
                <w:color w:val="auto"/>
                <w:sz w:val="20"/>
                <w:szCs w:val="20"/>
              </w:rPr>
              <w:t>0</w:t>
            </w: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三、收到和处理政府信息公开申请情况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楷体" w:hAnsi="楷体" w:eastAsia="楷体" w:cs="楷体"/>
                <w:color w:val="auto"/>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color w:val="auto"/>
                <w:sz w:val="20"/>
                <w:szCs w:val="20"/>
              </w:rPr>
            </w:pPr>
          </w:p>
        </w:tc>
        <w:tc>
          <w:tcPr>
            <w:tcW w:w="688"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color w:val="auto"/>
                <w:sz w:val="20"/>
                <w:szCs w:val="20"/>
              </w:rPr>
            </w:pPr>
          </w:p>
        </w:tc>
        <w:tc>
          <w:tcPr>
            <w:tcW w:w="688"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商业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企业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科研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社会公益组织</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法律服务机构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一、本年新收政府信息公开申请数量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二、上年结转政府信息公开申请数量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三、本年度办理结果</w:t>
            </w: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（一）予以公开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（二）部分公开</w:t>
            </w:r>
            <w:r>
              <w:rPr>
                <w:rFonts w:hint="eastAsia" w:ascii="楷体" w:hAnsi="楷体" w:eastAsia="楷体" w:cs="楷体"/>
                <w:color w:val="auto"/>
                <w:sz w:val="20"/>
                <w:szCs w:val="20"/>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（三）不予公开</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1.属于国家秘密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2.其他法律行政法规禁止公开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3.危及“三安全一稳定”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4.保护第三方合法权益</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5.属于三类内部事务信息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6.属于四类过程性信息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7.属于行政执法案卷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8.属于行政查询事项</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（四）无法提供</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1.本机关不掌握相关政府信息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2.没有现成信息需要另行制作</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3.补正后申请内容仍不明确</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（五）不予处理</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1.信访举报投诉类申请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2.重复申请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3.要求提供公开出版物</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4.无正当理由大量反复申请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322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1"/>
                <w:szCs w:val="21"/>
              </w:rPr>
            </w:pPr>
            <w:r>
              <w:rPr>
                <w:rFonts w:hint="eastAsia" w:ascii="宋体" w:hAnsi="宋体" w:eastAsia="宋体" w:cs="宋体"/>
                <w:color w:val="auto"/>
                <w:sz w:val="20"/>
                <w:szCs w:val="20"/>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p>
        </w:tc>
        <w:tc>
          <w:tcPr>
            <w:tcW w:w="689"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（六）其他处理</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1"/>
                <w:szCs w:val="21"/>
              </w:rPr>
            </w:pPr>
            <w:r>
              <w:rPr>
                <w:rFonts w:hint="eastAsia" w:ascii="宋体" w:hAnsi="宋体" w:eastAsia="宋体" w:cs="宋体"/>
                <w:color w:val="auto"/>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1"/>
                <w:szCs w:val="21"/>
              </w:rPr>
            </w:pPr>
            <w:r>
              <w:rPr>
                <w:rFonts w:hint="eastAsia" w:ascii="宋体" w:hAnsi="宋体" w:eastAsia="宋体" w:cs="宋体"/>
                <w:color w:val="auto"/>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3.其他</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color w:val="auto"/>
                <w:sz w:val="20"/>
                <w:szCs w:val="20"/>
              </w:rPr>
            </w:pP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（七）总计</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rPr>
            </w:pPr>
            <w:r>
              <w:rPr>
                <w:rFonts w:hint="eastAsia" w:ascii="宋体" w:hAnsi="宋体" w:eastAsia="宋体" w:cs="宋体"/>
                <w:color w:val="auto"/>
                <w:sz w:val="20"/>
                <w:szCs w:val="20"/>
              </w:rPr>
              <w:t>四、结转下年度继续办理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cs="Calibri"/>
                <w:color w:val="auto"/>
                <w:sz w:val="20"/>
                <w:szCs w:val="20"/>
              </w:rPr>
              <w:t> </w:t>
            </w:r>
            <w:r>
              <w:rPr>
                <w:rFonts w:hint="default" w:ascii="Calibri" w:hAnsi="Calibri" w:eastAsia="宋体" w:cs="Calibri"/>
                <w:color w:val="auto"/>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Calibri" w:hAnsi="Calibri" w:eastAsia="宋体" w:cs="Calibri"/>
                <w:color w:val="auto"/>
                <w:sz w:val="20"/>
                <w:szCs w:val="20"/>
              </w:rPr>
              <w:t>0</w:t>
            </w:r>
            <w:r>
              <w:rPr>
                <w:rFonts w:hint="default" w:ascii="Calibri" w:hAnsi="Calibri" w:cs="Calibri"/>
                <w:color w:val="auto"/>
                <w:sz w:val="20"/>
                <w:szCs w:val="20"/>
              </w:rPr>
              <w:t> </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四、政府信息公开行政复议、行政诉讼情况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iCs w:val="0"/>
          <w:caps w:val="0"/>
          <w:color w:val="auto"/>
          <w:spacing w:val="0"/>
          <w:sz w:val="21"/>
          <w:szCs w:val="21"/>
        </w:rPr>
      </w:pPr>
      <w:r>
        <w:rPr>
          <w:rFonts w:hint="default" w:ascii="Times New Roman" w:hAnsi="Times New Roman" w:cs="Times New Roman"/>
          <w:i w:val="0"/>
          <w:iCs w:val="0"/>
          <w:caps w:val="0"/>
          <w:color w:val="auto"/>
          <w:spacing w:val="0"/>
          <w:sz w:val="21"/>
          <w:szCs w:val="21"/>
          <w:shd w:val="clear" w:fill="FFFFFF"/>
        </w:rPr>
        <w:t> </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行政复议</w:t>
            </w:r>
          </w:p>
        </w:tc>
        <w:tc>
          <w:tcPr>
            <w:tcW w:w="6503"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结果维持</w:t>
            </w:r>
          </w:p>
        </w:tc>
        <w:tc>
          <w:tcPr>
            <w:tcW w:w="64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纠正</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结果</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审结</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总计</w:t>
            </w:r>
          </w:p>
        </w:tc>
        <w:tc>
          <w:tcPr>
            <w:tcW w:w="3248"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未经复议直接起诉</w:t>
            </w:r>
          </w:p>
        </w:tc>
        <w:tc>
          <w:tcPr>
            <w:tcW w:w="325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color w:val="auto"/>
                <w:sz w:val="20"/>
                <w:szCs w:val="20"/>
              </w:rPr>
            </w:pPr>
          </w:p>
        </w:tc>
        <w:tc>
          <w:tcPr>
            <w:tcW w:w="64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color w:val="auto"/>
                <w:sz w:val="20"/>
                <w:szCs w:val="20"/>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color w:val="auto"/>
                <w:sz w:val="20"/>
                <w:szCs w:val="20"/>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color w:val="auto"/>
                <w:sz w:val="20"/>
                <w:szCs w:val="20"/>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color w:val="auto"/>
                <w:sz w:val="20"/>
                <w:szCs w:val="20"/>
              </w:rPr>
            </w:pP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维持</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纠正</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结果</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审结</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总计</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维持</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纠正</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结果</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审结</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宋体" w:hAnsi="宋体" w:eastAsia="宋体" w:cs="宋体"/>
                <w:color w:val="auto"/>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黑体" w:hAnsi="宋体" w:eastAsia="黑体" w:cs="黑体"/>
                <w:color w:val="auto"/>
                <w:sz w:val="20"/>
                <w:szCs w:val="20"/>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黑体" w:hAnsi="宋体" w:eastAsia="黑体" w:cs="黑体"/>
                <w:color w:val="auto"/>
                <w:sz w:val="20"/>
                <w:szCs w:val="20"/>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黑体" w:hAnsi="宋体" w:eastAsia="黑体" w:cs="黑体"/>
                <w:color w:val="auto"/>
                <w:sz w:val="20"/>
                <w:szCs w:val="20"/>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黑体" w:hAnsi="宋体" w:eastAsia="黑体" w:cs="黑体"/>
                <w:color w:val="auto"/>
                <w:sz w:val="20"/>
                <w:szCs w:val="20"/>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黑体" w:hAnsi="宋体" w:eastAsia="黑体" w:cs="黑体"/>
                <w:color w:val="auto"/>
                <w:sz w:val="20"/>
                <w:szCs w:val="20"/>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黑体" w:hAnsi="宋体" w:eastAsia="黑体" w:cs="黑体"/>
                <w:color w:val="auto"/>
                <w:sz w:val="20"/>
                <w:szCs w:val="20"/>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黑体" w:hAnsi="宋体" w:eastAsia="黑体" w:cs="黑体"/>
                <w:color w:val="auto"/>
                <w:sz w:val="20"/>
                <w:szCs w:val="20"/>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黑体" w:hAnsi="宋体" w:eastAsia="黑体" w:cs="黑体"/>
                <w:color w:val="auto"/>
                <w:sz w:val="20"/>
                <w:szCs w:val="20"/>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黑体" w:hAnsi="宋体" w:eastAsia="黑体" w:cs="黑体"/>
                <w:color w:val="auto"/>
                <w:sz w:val="20"/>
                <w:szCs w:val="20"/>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黑体" w:hAnsi="宋体" w:eastAsia="黑体" w:cs="黑体"/>
                <w:color w:val="auto"/>
                <w:sz w:val="20"/>
                <w:szCs w:val="20"/>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黑体" w:hAnsi="宋体" w:eastAsia="黑体" w:cs="黑体"/>
                <w:color w:val="auto"/>
                <w:sz w:val="20"/>
                <w:szCs w:val="20"/>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黑体" w:hAnsi="宋体" w:eastAsia="黑体" w:cs="黑体"/>
                <w:color w:val="auto"/>
                <w:sz w:val="20"/>
                <w:szCs w:val="20"/>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黑体" w:hAnsi="宋体" w:eastAsia="黑体" w:cs="黑体"/>
                <w:color w:val="auto"/>
                <w:sz w:val="20"/>
                <w:szCs w:val="20"/>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sz w:val="21"/>
                <w:szCs w:val="21"/>
              </w:rPr>
            </w:pPr>
            <w:r>
              <w:rPr>
                <w:rFonts w:hint="eastAsia" w:ascii="黑体" w:hAnsi="宋体" w:eastAsia="黑体" w:cs="黑体"/>
                <w:color w:val="auto"/>
                <w:sz w:val="20"/>
                <w:szCs w:val="20"/>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rPr>
              <w:t> </w:t>
            </w:r>
            <w:r>
              <w:rPr>
                <w:rFonts w:hint="eastAsia" w:ascii="Times New Roman" w:hAnsi="Times New Roman" w:cs="Times New Roman"/>
                <w:color w:val="auto"/>
                <w:sz w:val="21"/>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（一）存在的主要问题:</w:t>
      </w:r>
      <w:r>
        <w:rPr>
          <w:rFonts w:hint="eastAsia" w:ascii="仿宋_GB2312" w:hAnsi="仿宋_GB2312" w:eastAsia="仿宋_GB2312" w:cs="仿宋_GB2312"/>
          <w:b/>
          <w:bCs/>
          <w:color w:val="auto"/>
          <w:kern w:val="2"/>
          <w:sz w:val="32"/>
          <w:szCs w:val="32"/>
          <w:lang w:val="en-US" w:eastAsia="zh-CN" w:bidi="ar-SA"/>
        </w:rPr>
        <w:t>一是</w:t>
      </w:r>
      <w:r>
        <w:rPr>
          <w:rFonts w:hint="eastAsia" w:ascii="仿宋_GB2312" w:hAnsi="仿宋_GB2312" w:eastAsia="仿宋_GB2312" w:cs="仿宋_GB2312"/>
          <w:color w:val="auto"/>
          <w:kern w:val="2"/>
          <w:sz w:val="32"/>
          <w:szCs w:val="32"/>
          <w:lang w:val="en-US" w:eastAsia="zh-CN" w:bidi="ar-SA"/>
        </w:rPr>
        <w:t>主动公开的政府信息不够全面；</w:t>
      </w:r>
      <w:r>
        <w:rPr>
          <w:rFonts w:hint="eastAsia" w:ascii="仿宋_GB2312" w:hAnsi="仿宋_GB2312" w:eastAsia="仿宋_GB2312" w:cs="仿宋_GB2312"/>
          <w:b/>
          <w:bCs/>
          <w:color w:val="auto"/>
          <w:kern w:val="2"/>
          <w:sz w:val="32"/>
          <w:szCs w:val="32"/>
          <w:lang w:val="en-US" w:eastAsia="zh-CN" w:bidi="ar-SA"/>
        </w:rPr>
        <w:t>二是</w:t>
      </w:r>
      <w:r>
        <w:rPr>
          <w:rFonts w:hint="eastAsia" w:ascii="仿宋_GB2312" w:hAnsi="仿宋_GB2312" w:eastAsia="仿宋_GB2312" w:cs="仿宋_GB2312"/>
          <w:color w:val="auto"/>
          <w:kern w:val="2"/>
          <w:sz w:val="32"/>
          <w:szCs w:val="32"/>
          <w:lang w:val="en-US" w:eastAsia="zh-CN" w:bidi="ar-SA"/>
        </w:rPr>
        <w:t>政民互动的有效性有待进一步提高。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（二）改进情况：</w:t>
      </w:r>
      <w:r>
        <w:rPr>
          <w:rFonts w:hint="eastAsia" w:ascii="仿宋_GB2312" w:hAnsi="仿宋_GB2312" w:eastAsia="仿宋_GB2312" w:cs="仿宋_GB2312"/>
          <w:b/>
          <w:bCs/>
          <w:color w:val="auto"/>
          <w:kern w:val="2"/>
          <w:sz w:val="32"/>
          <w:szCs w:val="32"/>
          <w:lang w:val="en-US" w:eastAsia="zh-CN" w:bidi="ar-SA"/>
        </w:rPr>
        <w:t>一是</w:t>
      </w:r>
      <w:r>
        <w:rPr>
          <w:rFonts w:hint="eastAsia" w:ascii="仿宋_GB2312" w:hAnsi="仿宋_GB2312" w:eastAsia="仿宋_GB2312" w:cs="仿宋_GB2312"/>
          <w:color w:val="auto"/>
          <w:kern w:val="2"/>
          <w:sz w:val="32"/>
          <w:szCs w:val="32"/>
          <w:lang w:val="en-US" w:eastAsia="zh-CN" w:bidi="ar-SA"/>
        </w:rPr>
        <w:t>加强理论学习，进一步提升主动公开政府信息质量与时效，在做好保密审查的基础上，及时主动发布应主动公开的政府信息；</w:t>
      </w:r>
      <w:r>
        <w:rPr>
          <w:rFonts w:hint="eastAsia" w:ascii="仿宋_GB2312" w:hAnsi="仿宋_GB2312" w:eastAsia="仿宋_GB2312" w:cs="仿宋_GB2312"/>
          <w:b/>
          <w:bCs/>
          <w:color w:val="auto"/>
          <w:kern w:val="2"/>
          <w:sz w:val="32"/>
          <w:szCs w:val="32"/>
          <w:lang w:val="en-US" w:eastAsia="zh-CN" w:bidi="ar-SA"/>
        </w:rPr>
        <w:t>二是</w:t>
      </w:r>
      <w:r>
        <w:rPr>
          <w:rFonts w:hint="eastAsia" w:ascii="仿宋_GB2312" w:hAnsi="仿宋_GB2312" w:eastAsia="仿宋_GB2312" w:cs="仿宋_GB2312"/>
          <w:color w:val="auto"/>
          <w:kern w:val="2"/>
          <w:sz w:val="32"/>
          <w:szCs w:val="32"/>
          <w:lang w:val="en-US" w:eastAsia="zh-CN" w:bidi="ar-SA"/>
        </w:rPr>
        <w:t>加强主动回应，充分利用微信、微博公众号等宣传阵地，加强宣传引导，积极开展与网友的互动交流，切实保障公众的知情权、参与权。</w:t>
      </w:r>
      <w:r>
        <w:rPr>
          <w:rFonts w:hint="eastAsia" w:ascii="仿宋_GB2312" w:hAnsi="仿宋_GB2312" w:eastAsia="仿宋_GB2312" w:cs="仿宋_GB2312"/>
          <w:color w:val="auto"/>
          <w:kern w:val="2"/>
          <w:sz w:val="32"/>
          <w:szCs w:val="32"/>
          <w:lang w:val="en-US" w:eastAsia="zh-CN" w:bidi="ar-SA"/>
        </w:rPr>
        <w:t>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按照《国务院办公厅关于印发&lt;政府信息公开信息处理费管理办法&gt;的通知》（国办函〔2020〕109号）规定的按件、按量收费标准，本年度没有产生信息公开处理费。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91A5C"/>
    <w:rsid w:val="03C57242"/>
    <w:rsid w:val="06D1120F"/>
    <w:rsid w:val="12306F2C"/>
    <w:rsid w:val="24E476C6"/>
    <w:rsid w:val="40B91A5C"/>
    <w:rsid w:val="499D1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2022-01-18T07:56:00Z</dcterms:created>
  <dc:creator>紫色的眼泪</dc:creator>
  <cp:lastModifiedBy>紫色的眼泪</cp:lastModifiedBy>
  <dcterms:modified xsi:type="dcterms:W3CDTF">2022-01-30T02:15:35Z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163AF129E26E4066B9D4282776365F0F</vt:lpwstr>
  </property>
</Properties>
</file>