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bCs/>
          <w:i w:val="0"/>
          <w:iCs w:val="0"/>
          <w:caps w:val="0"/>
          <w:color w:val="333333"/>
          <w:spacing w:val="0"/>
          <w:kern w:val="0"/>
          <w:sz w:val="44"/>
          <w:szCs w:val="44"/>
          <w:shd w:val="clear" w:fill="FFFFFF"/>
          <w:lang w:val="en-US" w:eastAsia="zh-CN" w:bidi="ar"/>
        </w:rPr>
      </w:pPr>
      <w:r>
        <w:rPr>
          <w:rFonts w:hint="eastAsia" w:ascii="宋体" w:hAnsi="宋体" w:eastAsia="宋体" w:cs="宋体"/>
          <w:b/>
          <w:bCs/>
          <w:i w:val="0"/>
          <w:iCs w:val="0"/>
          <w:caps w:val="0"/>
          <w:color w:val="333333"/>
          <w:spacing w:val="0"/>
          <w:kern w:val="0"/>
          <w:sz w:val="44"/>
          <w:szCs w:val="44"/>
          <w:shd w:val="clear" w:fill="FFFFFF"/>
          <w:lang w:val="en-US" w:eastAsia="zh-CN" w:bidi="ar"/>
        </w:rPr>
        <w:t>凤阳县</w:t>
      </w:r>
      <w:r>
        <w:rPr>
          <w:rFonts w:hint="eastAsia" w:cs="宋体"/>
          <w:b/>
          <w:bCs/>
          <w:i w:val="0"/>
          <w:iCs w:val="0"/>
          <w:caps w:val="0"/>
          <w:color w:val="333333"/>
          <w:spacing w:val="0"/>
          <w:kern w:val="0"/>
          <w:sz w:val="44"/>
          <w:szCs w:val="44"/>
          <w:shd w:val="clear" w:fill="FFFFFF"/>
          <w:lang w:val="en-US" w:eastAsia="zh-CN" w:bidi="ar"/>
        </w:rPr>
        <w:t>投资促进局</w:t>
      </w:r>
      <w:r>
        <w:rPr>
          <w:rFonts w:hint="eastAsia" w:ascii="宋体" w:hAnsi="宋体" w:eastAsia="宋体" w:cs="宋体"/>
          <w:b/>
          <w:bCs/>
          <w:i w:val="0"/>
          <w:iCs w:val="0"/>
          <w:caps w:val="0"/>
          <w:color w:val="333333"/>
          <w:spacing w:val="0"/>
          <w:kern w:val="0"/>
          <w:sz w:val="44"/>
          <w:szCs w:val="44"/>
          <w:shd w:val="clear" w:fill="FFFFFF"/>
          <w:lang w:val="en-US" w:eastAsia="zh-CN" w:bidi="ar"/>
        </w:rPr>
        <w:t>202</w:t>
      </w:r>
      <w:r>
        <w:rPr>
          <w:rFonts w:hint="eastAsia" w:cs="宋体"/>
          <w:b/>
          <w:bCs/>
          <w:i w:val="0"/>
          <w:iCs w:val="0"/>
          <w:caps w:val="0"/>
          <w:color w:val="333333"/>
          <w:spacing w:val="0"/>
          <w:kern w:val="0"/>
          <w:sz w:val="44"/>
          <w:szCs w:val="44"/>
          <w:shd w:val="clear" w:fill="FFFFFF"/>
          <w:lang w:val="en-US" w:eastAsia="zh-CN" w:bidi="ar"/>
        </w:rPr>
        <w:t>1</w:t>
      </w:r>
      <w:r>
        <w:rPr>
          <w:rFonts w:hint="eastAsia" w:ascii="宋体" w:hAnsi="宋体" w:eastAsia="宋体" w:cs="宋体"/>
          <w:b/>
          <w:bCs/>
          <w:i w:val="0"/>
          <w:iCs w:val="0"/>
          <w:caps w:val="0"/>
          <w:color w:val="333333"/>
          <w:spacing w:val="0"/>
          <w:kern w:val="0"/>
          <w:sz w:val="44"/>
          <w:szCs w:val="44"/>
          <w:shd w:val="clear" w:fill="FFFFFF"/>
          <w:lang w:val="en-US" w:eastAsia="zh-CN" w:bidi="ar"/>
        </w:rPr>
        <w:t>年政府信息公开工作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bCs/>
          <w:i w:val="0"/>
          <w:iCs w:val="0"/>
          <w:caps w:val="0"/>
          <w:color w:val="333333"/>
          <w:spacing w:val="0"/>
          <w:sz w:val="44"/>
          <w:szCs w:val="44"/>
          <w:shd w:val="clear" w:fill="FFFFFF"/>
        </w:rPr>
      </w:pPr>
      <w:r>
        <w:rPr>
          <w:rFonts w:hint="eastAsia" w:ascii="宋体" w:hAnsi="宋体" w:eastAsia="宋体" w:cs="宋体"/>
          <w:b/>
          <w:bCs/>
          <w:i w:val="0"/>
          <w:iCs w:val="0"/>
          <w:caps w:val="0"/>
          <w:color w:val="333333"/>
          <w:spacing w:val="0"/>
          <w:kern w:val="0"/>
          <w:sz w:val="44"/>
          <w:szCs w:val="44"/>
          <w:shd w:val="clear" w:fill="FFFFFF"/>
          <w:lang w:val="en-US" w:eastAsia="zh-CN" w:bidi="ar"/>
        </w:rPr>
        <w:t>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本报告根据修订后的《中华人民共和国政府信息公开条例》和《国务院办公厅政府信息与政务公开办公室关于印发〈中华人民共和国政府信息公开工作年度报告格式〉的通知》（国办公开</w:t>
      </w:r>
      <w:r>
        <w:rPr>
          <w:rFonts w:hint="eastAsia" w:ascii="仿宋_GB2312" w:hAnsi="仿宋_GB2312" w:eastAsia="仿宋_GB2312" w:cs="仿宋_GB2312"/>
          <w:b/>
          <w:bCs/>
          <w:i w:val="0"/>
          <w:iCs w:val="0"/>
          <w:caps w:val="0"/>
          <w:color w:val="333333"/>
          <w:spacing w:val="0"/>
          <w:sz w:val="32"/>
          <w:szCs w:val="32"/>
          <w:shd w:val="clear" w:fill="FFFFFF"/>
        </w:rPr>
        <w:t>办函〔2021〕30号</w:t>
      </w:r>
      <w:r>
        <w:rPr>
          <w:rFonts w:hint="eastAsia" w:ascii="仿宋_GB2312" w:hAnsi="仿宋_GB2312" w:eastAsia="仿宋_GB2312" w:cs="仿宋_GB2312"/>
          <w:i w:val="0"/>
          <w:iCs w:val="0"/>
          <w:caps w:val="0"/>
          <w:color w:val="333333"/>
          <w:spacing w:val="0"/>
          <w:sz w:val="32"/>
          <w:szCs w:val="32"/>
          <w:shd w:val="clear" w:fill="FFFFFF"/>
        </w:rPr>
        <w:t>）要求，综合各乡镇人民政府、县政府各部门和直属机构的政府信息公开工作年度报告和有关统计数据形成。本报告由凤阳县人民政府政务公开办公室编制，全文包括</w:t>
      </w:r>
      <w:r>
        <w:rPr>
          <w:rFonts w:hint="eastAsia" w:ascii="仿宋_GB2312" w:hAnsi="仿宋_GB2312" w:eastAsia="仿宋_GB2312" w:cs="仿宋_GB2312"/>
          <w:b/>
          <w:bCs/>
          <w:i w:val="0"/>
          <w:iCs w:val="0"/>
          <w:caps w:val="0"/>
          <w:color w:val="333333"/>
          <w:spacing w:val="0"/>
          <w:sz w:val="32"/>
          <w:szCs w:val="32"/>
          <w:shd w:val="clear" w:fill="FFFFFF"/>
        </w:rPr>
        <w:t>总体情况、主动公开政府信息情况、收到和处理政府信息公开申请情况、政府信息公开行政复议、行政诉讼情况、存在的主要问题及改进情况、其他需要报告的事项</w:t>
      </w:r>
      <w:r>
        <w:rPr>
          <w:rFonts w:hint="eastAsia" w:ascii="仿宋_GB2312" w:hAnsi="仿宋_GB2312" w:eastAsia="仿宋_GB2312" w:cs="仿宋_GB2312"/>
          <w:i w:val="0"/>
          <w:iCs w:val="0"/>
          <w:caps w:val="0"/>
          <w:color w:val="333333"/>
          <w:spacing w:val="0"/>
          <w:sz w:val="32"/>
          <w:szCs w:val="32"/>
          <w:shd w:val="clear" w:fill="FFFFFF"/>
        </w:rPr>
        <w:t>等六个部分。本年度报告中使用数据统计期限为</w:t>
      </w:r>
      <w:r>
        <w:rPr>
          <w:rFonts w:hint="eastAsia" w:ascii="仿宋_GB2312" w:hAnsi="仿宋_GB2312" w:eastAsia="仿宋_GB2312" w:cs="仿宋_GB2312"/>
          <w:b/>
          <w:bCs/>
          <w:i w:val="0"/>
          <w:iCs w:val="0"/>
          <w:caps w:val="0"/>
          <w:color w:val="333333"/>
          <w:spacing w:val="0"/>
          <w:sz w:val="32"/>
          <w:szCs w:val="32"/>
          <w:shd w:val="clear" w:fill="FFFFFF"/>
        </w:rPr>
        <w:t>202</w:t>
      </w:r>
      <w:r>
        <w:rPr>
          <w:rFonts w:hint="eastAsia" w:ascii="仿宋_GB2312" w:hAnsi="仿宋_GB2312" w:eastAsia="仿宋_GB2312" w:cs="仿宋_GB2312"/>
          <w:b/>
          <w:bCs/>
          <w:i w:val="0"/>
          <w:iCs w:val="0"/>
          <w:caps w:val="0"/>
          <w:color w:val="333333"/>
          <w:spacing w:val="0"/>
          <w:sz w:val="32"/>
          <w:szCs w:val="32"/>
          <w:shd w:val="clear" w:fill="FFFFFF"/>
          <w:lang w:val="en-US" w:eastAsia="zh-CN"/>
        </w:rPr>
        <w:t>1</w:t>
      </w:r>
      <w:r>
        <w:rPr>
          <w:rFonts w:hint="eastAsia" w:ascii="仿宋_GB2312" w:hAnsi="仿宋_GB2312" w:eastAsia="仿宋_GB2312" w:cs="仿宋_GB2312"/>
          <w:b/>
          <w:bCs/>
          <w:i w:val="0"/>
          <w:iCs w:val="0"/>
          <w:caps w:val="0"/>
          <w:color w:val="333333"/>
          <w:spacing w:val="0"/>
          <w:sz w:val="32"/>
          <w:szCs w:val="32"/>
          <w:shd w:val="clear" w:fill="FFFFFF"/>
        </w:rPr>
        <w:t>年1月1日起至202</w:t>
      </w:r>
      <w:r>
        <w:rPr>
          <w:rFonts w:hint="eastAsia" w:ascii="仿宋_GB2312" w:hAnsi="仿宋_GB2312" w:eastAsia="仿宋_GB2312" w:cs="仿宋_GB2312"/>
          <w:b/>
          <w:bCs/>
          <w:i w:val="0"/>
          <w:iCs w:val="0"/>
          <w:caps w:val="0"/>
          <w:color w:val="333333"/>
          <w:spacing w:val="0"/>
          <w:sz w:val="32"/>
          <w:szCs w:val="32"/>
          <w:shd w:val="clear" w:fill="FFFFFF"/>
          <w:lang w:val="en-US" w:eastAsia="zh-CN"/>
        </w:rPr>
        <w:t>1</w:t>
      </w:r>
      <w:r>
        <w:rPr>
          <w:rFonts w:hint="eastAsia" w:ascii="仿宋_GB2312" w:hAnsi="仿宋_GB2312" w:eastAsia="仿宋_GB2312" w:cs="仿宋_GB2312"/>
          <w:b/>
          <w:bCs/>
          <w:i w:val="0"/>
          <w:iCs w:val="0"/>
          <w:caps w:val="0"/>
          <w:color w:val="333333"/>
          <w:spacing w:val="0"/>
          <w:sz w:val="32"/>
          <w:szCs w:val="32"/>
          <w:shd w:val="clear" w:fill="FFFFFF"/>
        </w:rPr>
        <w:t>年12月31日止</w:t>
      </w:r>
      <w:r>
        <w:rPr>
          <w:rFonts w:hint="eastAsia" w:ascii="仿宋_GB2312" w:hAnsi="仿宋_GB2312" w:eastAsia="仿宋_GB2312" w:cs="仿宋_GB2312"/>
          <w:i w:val="0"/>
          <w:iCs w:val="0"/>
          <w:caps w:val="0"/>
          <w:color w:val="333333"/>
          <w:spacing w:val="0"/>
          <w:sz w:val="32"/>
          <w:szCs w:val="32"/>
          <w:shd w:val="clear" w:fill="FFFFFF"/>
        </w:rPr>
        <w:t>。本报告电子版可以从凤阳县人民政府网站信息公开板块（网址：http://www.fengyang.gov.cn/zwgk/index.html）下载，如对本报告有疑问，请与凤阳县</w:t>
      </w:r>
      <w:r>
        <w:rPr>
          <w:rFonts w:hint="eastAsia" w:ascii="仿宋_GB2312" w:hAnsi="仿宋_GB2312" w:eastAsia="仿宋_GB2312" w:cs="仿宋_GB2312"/>
          <w:i w:val="0"/>
          <w:iCs w:val="0"/>
          <w:caps w:val="0"/>
          <w:color w:val="333333"/>
          <w:spacing w:val="0"/>
          <w:sz w:val="32"/>
          <w:szCs w:val="32"/>
          <w:shd w:val="clear" w:fill="FFFFFF"/>
          <w:lang w:eastAsia="zh-CN"/>
        </w:rPr>
        <w:t>投资促进局</w:t>
      </w:r>
      <w:r>
        <w:rPr>
          <w:rFonts w:hint="eastAsia" w:ascii="仿宋_GB2312" w:hAnsi="仿宋_GB2312" w:eastAsia="仿宋_GB2312" w:cs="仿宋_GB2312"/>
          <w:i w:val="0"/>
          <w:iCs w:val="0"/>
          <w:caps w:val="0"/>
          <w:color w:val="333333"/>
          <w:spacing w:val="0"/>
          <w:sz w:val="32"/>
          <w:szCs w:val="32"/>
          <w:shd w:val="clear" w:fill="FFFFFF"/>
        </w:rPr>
        <w:t>政务公开办公室联系（地址：凤阳县</w:t>
      </w:r>
      <w:r>
        <w:rPr>
          <w:rFonts w:hint="eastAsia" w:ascii="仿宋_GB2312" w:hAnsi="仿宋_GB2312" w:eastAsia="仿宋_GB2312" w:cs="仿宋_GB2312"/>
          <w:i w:val="0"/>
          <w:iCs w:val="0"/>
          <w:caps w:val="0"/>
          <w:color w:val="333333"/>
          <w:spacing w:val="0"/>
          <w:sz w:val="32"/>
          <w:szCs w:val="32"/>
          <w:shd w:val="clear" w:fill="FFFFFF"/>
          <w:lang w:eastAsia="zh-CN"/>
        </w:rPr>
        <w:t>中都大道与月华路交叉口，原淮滨新区管委会二楼</w:t>
      </w:r>
      <w:r>
        <w:rPr>
          <w:rFonts w:hint="eastAsia" w:ascii="仿宋_GB2312" w:hAnsi="仿宋_GB2312" w:eastAsia="仿宋_GB2312" w:cs="仿宋_GB2312"/>
          <w:i w:val="0"/>
          <w:iCs w:val="0"/>
          <w:caps w:val="0"/>
          <w:color w:val="333333"/>
          <w:spacing w:val="0"/>
          <w:sz w:val="32"/>
          <w:szCs w:val="32"/>
          <w:shd w:val="clear" w:fill="FFFFFF"/>
        </w:rPr>
        <w:t>，联系电话：0550-673</w:t>
      </w:r>
      <w:r>
        <w:rPr>
          <w:rFonts w:hint="eastAsia" w:ascii="仿宋_GB2312" w:hAnsi="仿宋_GB2312" w:eastAsia="仿宋_GB2312" w:cs="仿宋_GB2312"/>
          <w:i w:val="0"/>
          <w:iCs w:val="0"/>
          <w:caps w:val="0"/>
          <w:color w:val="333333"/>
          <w:spacing w:val="0"/>
          <w:sz w:val="32"/>
          <w:szCs w:val="32"/>
          <w:shd w:val="clear" w:fill="FFFFFF"/>
          <w:lang w:val="en-US" w:eastAsia="zh-CN"/>
        </w:rPr>
        <w:t>9365</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2021年</w:t>
      </w:r>
      <w:r>
        <w:rPr>
          <w:rFonts w:hint="eastAsia" w:ascii="仿宋_GB2312" w:hAnsi="仿宋_GB2312" w:eastAsia="仿宋_GB2312" w:cs="仿宋_GB2312"/>
          <w:i w:val="0"/>
          <w:iCs w:val="0"/>
          <w:caps w:val="0"/>
          <w:color w:val="333333"/>
          <w:spacing w:val="0"/>
          <w:sz w:val="32"/>
          <w:szCs w:val="32"/>
          <w:shd w:val="clear" w:fill="FFFFFF"/>
          <w:lang w:eastAsia="zh-CN"/>
        </w:rPr>
        <w:t>以来</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县投资促进局</w:t>
      </w:r>
      <w:r>
        <w:rPr>
          <w:rFonts w:hint="eastAsia" w:ascii="仿宋_GB2312" w:hAnsi="仿宋_GB2312" w:eastAsia="仿宋_GB2312" w:cs="仿宋_GB2312"/>
          <w:i w:val="0"/>
          <w:iCs w:val="0"/>
          <w:caps w:val="0"/>
          <w:color w:val="333333"/>
          <w:spacing w:val="0"/>
          <w:sz w:val="32"/>
          <w:szCs w:val="32"/>
          <w:shd w:val="clear" w:fill="FFFFFF"/>
        </w:rPr>
        <w:t>严格</w:t>
      </w:r>
      <w:r>
        <w:rPr>
          <w:rFonts w:hint="eastAsia" w:ascii="仿宋_GB2312" w:hAnsi="仿宋_GB2312" w:eastAsia="仿宋_GB2312" w:cs="仿宋_GB2312"/>
          <w:i w:val="0"/>
          <w:iCs w:val="0"/>
          <w:caps w:val="0"/>
          <w:color w:val="333333"/>
          <w:spacing w:val="0"/>
          <w:sz w:val="32"/>
          <w:szCs w:val="32"/>
          <w:shd w:val="clear" w:fill="FFFFFF"/>
          <w:lang w:eastAsia="zh-CN"/>
        </w:rPr>
        <w:t>贯彻</w:t>
      </w:r>
      <w:r>
        <w:rPr>
          <w:rFonts w:hint="eastAsia" w:ascii="仿宋_GB2312" w:hAnsi="仿宋_GB2312" w:eastAsia="仿宋_GB2312" w:cs="仿宋_GB2312"/>
          <w:i w:val="0"/>
          <w:iCs w:val="0"/>
          <w:caps w:val="0"/>
          <w:color w:val="333333"/>
          <w:spacing w:val="0"/>
          <w:sz w:val="32"/>
          <w:szCs w:val="32"/>
          <w:shd w:val="clear" w:fill="FFFFFF"/>
        </w:rPr>
        <w:t>落实政务</w:t>
      </w:r>
      <w:r>
        <w:rPr>
          <w:rFonts w:hint="eastAsia" w:ascii="仿宋_GB2312" w:hAnsi="仿宋_GB2312" w:eastAsia="仿宋_GB2312" w:cs="仿宋_GB2312"/>
          <w:i w:val="0"/>
          <w:iCs w:val="0"/>
          <w:caps w:val="0"/>
          <w:color w:val="333333"/>
          <w:spacing w:val="0"/>
          <w:sz w:val="32"/>
          <w:szCs w:val="32"/>
          <w:shd w:val="clear" w:fill="FFFFFF"/>
          <w:lang w:eastAsia="zh-CN"/>
        </w:rPr>
        <w:t>信息</w:t>
      </w:r>
      <w:r>
        <w:rPr>
          <w:rFonts w:hint="eastAsia" w:ascii="仿宋_GB2312" w:hAnsi="仿宋_GB2312" w:eastAsia="仿宋_GB2312" w:cs="仿宋_GB2312"/>
          <w:i w:val="0"/>
          <w:iCs w:val="0"/>
          <w:caps w:val="0"/>
          <w:color w:val="333333"/>
          <w:spacing w:val="0"/>
          <w:sz w:val="32"/>
          <w:szCs w:val="32"/>
          <w:shd w:val="clear" w:fill="FFFFFF"/>
        </w:rPr>
        <w:t>公开制度，科学谋划部署全年信息公开工作，确保各项信息公开到位。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（一）主动公开情况。</w:t>
      </w:r>
      <w:r>
        <w:rPr>
          <w:rFonts w:hint="eastAsia" w:ascii="仿宋_GB2312" w:hAnsi="仿宋_GB2312" w:eastAsia="仿宋_GB2312" w:cs="仿宋_GB2312"/>
          <w:i w:val="0"/>
          <w:iCs w:val="0"/>
          <w:caps w:val="0"/>
          <w:color w:val="333333"/>
          <w:spacing w:val="0"/>
          <w:sz w:val="32"/>
          <w:szCs w:val="32"/>
          <w:shd w:val="clear" w:fill="FFFFFF"/>
        </w:rPr>
        <w:t xml:space="preserve"> 2021年</w:t>
      </w:r>
      <w:r>
        <w:rPr>
          <w:rFonts w:hint="eastAsia" w:ascii="仿宋_GB2312" w:hAnsi="仿宋_GB2312" w:eastAsia="仿宋_GB2312" w:cs="仿宋_GB2312"/>
          <w:i w:val="0"/>
          <w:iCs w:val="0"/>
          <w:caps w:val="0"/>
          <w:color w:val="333333"/>
          <w:spacing w:val="0"/>
          <w:sz w:val="32"/>
          <w:szCs w:val="32"/>
          <w:shd w:val="clear" w:fill="FFFFFF"/>
          <w:lang w:eastAsia="zh-CN"/>
        </w:rPr>
        <w:t>全年</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我局</w:t>
      </w:r>
      <w:r>
        <w:rPr>
          <w:rFonts w:hint="eastAsia" w:ascii="仿宋_GB2312" w:hAnsi="仿宋_GB2312" w:eastAsia="仿宋_GB2312" w:cs="仿宋_GB2312"/>
          <w:i w:val="0"/>
          <w:iCs w:val="0"/>
          <w:caps w:val="0"/>
          <w:color w:val="333333"/>
          <w:spacing w:val="0"/>
          <w:sz w:val="32"/>
          <w:szCs w:val="32"/>
          <w:shd w:val="clear" w:fill="FFFFFF"/>
        </w:rPr>
        <w:t>主动</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公开政府信息的数量共计</w:t>
      </w:r>
      <w:r>
        <w:rPr>
          <w:rFonts w:hint="eastAsia" w:ascii="仿宋_GB2312" w:hAnsi="仿宋_GB2312" w:eastAsia="仿宋_GB2312" w:cs="仿宋_GB2312"/>
          <w:i w:val="0"/>
          <w:iCs w:val="0"/>
          <w:caps w:val="0"/>
          <w:color w:val="333333"/>
          <w:spacing w:val="0"/>
          <w:sz w:val="32"/>
          <w:szCs w:val="32"/>
          <w:shd w:val="clear" w:fill="FFFFFF"/>
          <w:lang w:val="en-US" w:eastAsia="zh-CN"/>
        </w:rPr>
        <w:t>53</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eastAsia="zh-CN"/>
        </w:rPr>
        <w:t>收到书记信箱信息</w:t>
      </w:r>
      <w:r>
        <w:rPr>
          <w:rFonts w:hint="eastAsia" w:ascii="仿宋_GB2312" w:hAnsi="仿宋_GB2312" w:eastAsia="仿宋_GB2312" w:cs="仿宋_GB2312"/>
          <w:i w:val="0"/>
          <w:iCs w:val="0"/>
          <w:caps w:val="0"/>
          <w:color w:val="333333"/>
          <w:spacing w:val="0"/>
          <w:sz w:val="32"/>
          <w:szCs w:val="32"/>
          <w:shd w:val="clear" w:fill="FFFFFF"/>
          <w:lang w:val="en-US" w:eastAsia="zh-CN"/>
        </w:rPr>
        <w:t>1条，</w:t>
      </w:r>
      <w:r>
        <w:rPr>
          <w:rFonts w:hint="eastAsia" w:ascii="仿宋_GB2312" w:hAnsi="仿宋_GB2312" w:eastAsia="仿宋_GB2312" w:cs="仿宋_GB2312"/>
          <w:i w:val="0"/>
          <w:iCs w:val="0"/>
          <w:caps w:val="0"/>
          <w:color w:val="333333"/>
          <w:spacing w:val="0"/>
          <w:sz w:val="32"/>
          <w:szCs w:val="32"/>
          <w:shd w:val="clear" w:fill="FFFFFF"/>
        </w:rPr>
        <w:t>县长信箱</w:t>
      </w:r>
      <w:r>
        <w:rPr>
          <w:rFonts w:hint="eastAsia" w:ascii="仿宋_GB2312" w:hAnsi="仿宋_GB2312" w:eastAsia="仿宋_GB2312" w:cs="仿宋_GB2312"/>
          <w:i w:val="0"/>
          <w:iCs w:val="0"/>
          <w:caps w:val="0"/>
          <w:color w:val="333333"/>
          <w:spacing w:val="0"/>
          <w:sz w:val="32"/>
          <w:szCs w:val="32"/>
          <w:shd w:val="clear" w:fill="FFFFFF"/>
          <w:lang w:eastAsia="zh-CN"/>
        </w:rPr>
        <w:t>信息</w:t>
      </w:r>
      <w:r>
        <w:rPr>
          <w:rFonts w:hint="eastAsia" w:ascii="仿宋_GB2312" w:hAnsi="仿宋_GB2312" w:eastAsia="仿宋_GB2312" w:cs="仿宋_GB2312"/>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lang w:eastAsia="zh-CN"/>
        </w:rPr>
        <w:t>条</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均及时回复办结</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（二）依申请公开情况。</w:t>
      </w:r>
      <w:r>
        <w:rPr>
          <w:rFonts w:hint="eastAsia" w:ascii="仿宋_GB2312" w:hAnsi="仿宋_GB2312" w:eastAsia="仿宋_GB2312" w:cs="仿宋_GB2312"/>
          <w:i w:val="0"/>
          <w:iCs w:val="0"/>
          <w:caps w:val="0"/>
          <w:color w:val="333333"/>
          <w:spacing w:val="0"/>
          <w:sz w:val="32"/>
          <w:szCs w:val="32"/>
          <w:shd w:val="clear" w:fill="FFFFFF"/>
        </w:rPr>
        <w:t>2021年，我</w:t>
      </w:r>
      <w:r>
        <w:rPr>
          <w:rFonts w:hint="eastAsia" w:ascii="仿宋_GB2312" w:hAnsi="仿宋_GB2312" w:eastAsia="仿宋_GB2312" w:cs="仿宋_GB2312"/>
          <w:i w:val="0"/>
          <w:iCs w:val="0"/>
          <w:caps w:val="0"/>
          <w:color w:val="333333"/>
          <w:spacing w:val="0"/>
          <w:sz w:val="32"/>
          <w:szCs w:val="32"/>
          <w:shd w:val="clear" w:fill="FFFFFF"/>
          <w:lang w:eastAsia="zh-CN"/>
        </w:rPr>
        <w:t>局</w:t>
      </w:r>
      <w:r>
        <w:rPr>
          <w:rFonts w:hint="eastAsia" w:ascii="仿宋_GB2312" w:hAnsi="仿宋_GB2312" w:eastAsia="仿宋_GB2312" w:cs="仿宋_GB2312"/>
          <w:i w:val="0"/>
          <w:iCs w:val="0"/>
          <w:caps w:val="0"/>
          <w:color w:val="333333"/>
          <w:spacing w:val="0"/>
          <w:sz w:val="32"/>
          <w:szCs w:val="32"/>
          <w:shd w:val="clear" w:fill="FFFFFF"/>
        </w:rPr>
        <w:t xml:space="preserve">未收到任何形式的政府信息公开申请。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（三）政府信息管理。</w:t>
      </w:r>
      <w:r>
        <w:rPr>
          <w:rFonts w:hint="eastAsia" w:ascii="仿宋_GB2312" w:hAnsi="仿宋_GB2312" w:eastAsia="仿宋_GB2312" w:cs="仿宋_GB2312"/>
          <w:i w:val="0"/>
          <w:iCs w:val="0"/>
          <w:caps w:val="0"/>
          <w:color w:val="333333"/>
          <w:spacing w:val="0"/>
          <w:sz w:val="32"/>
          <w:szCs w:val="32"/>
          <w:shd w:val="clear" w:fill="FFFFFF"/>
          <w:lang w:eastAsia="zh-CN"/>
        </w:rPr>
        <w:t>局党组高度重视信息公开工作，要求政务信息公开工作人员严格按照《中华人民共和国政府信息公开条例》开展工作，确保信息的实效性、准确性和安全性</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（四）政府信息公开平台建设。</w:t>
      </w:r>
      <w:r>
        <w:rPr>
          <w:rFonts w:hint="eastAsia" w:ascii="仿宋_GB2312" w:hAnsi="仿宋_GB2312" w:eastAsia="仿宋_GB2312" w:cs="仿宋_GB2312"/>
          <w:i w:val="0"/>
          <w:iCs w:val="0"/>
          <w:caps w:val="0"/>
          <w:color w:val="333333"/>
          <w:spacing w:val="0"/>
          <w:sz w:val="32"/>
          <w:szCs w:val="32"/>
          <w:shd w:val="clear" w:fill="FFFFFF"/>
        </w:rPr>
        <w:t>2021年</w:t>
      </w:r>
      <w:r>
        <w:rPr>
          <w:rFonts w:hint="eastAsia" w:ascii="仿宋_GB2312" w:hAnsi="仿宋_GB2312" w:eastAsia="仿宋_GB2312" w:cs="仿宋_GB2312"/>
          <w:i w:val="0"/>
          <w:iCs w:val="0"/>
          <w:caps w:val="0"/>
          <w:color w:val="333333"/>
          <w:spacing w:val="0"/>
          <w:sz w:val="32"/>
          <w:szCs w:val="32"/>
          <w:shd w:val="clear" w:fill="FFFFFF"/>
          <w:lang w:eastAsia="zh-CN"/>
        </w:rPr>
        <w:t>以来，我局</w:t>
      </w:r>
      <w:r>
        <w:rPr>
          <w:rFonts w:hint="eastAsia" w:ascii="仿宋_GB2312" w:hAnsi="仿宋_GB2312" w:eastAsia="仿宋_GB2312" w:cs="仿宋_GB2312"/>
          <w:i w:val="0"/>
          <w:iCs w:val="0"/>
          <w:caps w:val="0"/>
          <w:color w:val="333333"/>
          <w:spacing w:val="0"/>
          <w:sz w:val="32"/>
          <w:szCs w:val="32"/>
          <w:shd w:val="clear" w:fill="FFFFFF"/>
        </w:rPr>
        <w:t>在县政府办的</w:t>
      </w:r>
      <w:r>
        <w:rPr>
          <w:rFonts w:hint="eastAsia" w:ascii="仿宋_GB2312" w:hAnsi="仿宋_GB2312" w:eastAsia="仿宋_GB2312" w:cs="仿宋_GB2312"/>
          <w:i w:val="0"/>
          <w:iCs w:val="0"/>
          <w:caps w:val="0"/>
          <w:color w:val="333333"/>
          <w:spacing w:val="0"/>
          <w:sz w:val="32"/>
          <w:szCs w:val="32"/>
          <w:shd w:val="clear" w:fill="FFFFFF"/>
          <w:lang w:eastAsia="zh-CN"/>
        </w:rPr>
        <w:t>指导下，不断细化和完善信息公开内容和相关流程，及时发布双招双引和企业帮扶相关信息，发布最新的招商引资优惠政策，营造良好的营商环境</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楷体_GB2312" w:hAnsi="楷体_GB2312" w:eastAsia="楷体_GB2312" w:cs="楷体_GB2312"/>
          <w:b/>
          <w:bCs/>
          <w:i w:val="0"/>
          <w:iCs w:val="0"/>
          <w:caps w:val="0"/>
          <w:color w:val="333333"/>
          <w:spacing w:val="0"/>
          <w:sz w:val="32"/>
          <w:szCs w:val="32"/>
          <w:shd w:val="clear" w:fill="FFFFFF"/>
        </w:rPr>
        <w:t>（五）监督保障。</w:t>
      </w:r>
      <w:r>
        <w:rPr>
          <w:rFonts w:hint="eastAsia" w:ascii="仿宋_GB2312" w:hAnsi="仿宋_GB2312" w:eastAsia="仿宋_GB2312" w:cs="仿宋_GB2312"/>
          <w:i w:val="0"/>
          <w:iCs w:val="0"/>
          <w:caps w:val="0"/>
          <w:color w:val="333333"/>
          <w:spacing w:val="0"/>
          <w:sz w:val="32"/>
          <w:szCs w:val="32"/>
          <w:shd w:val="clear" w:fill="FFFFFF"/>
          <w:lang w:eastAsia="zh-CN"/>
        </w:rPr>
        <w:t>我局明确了办公室作为信息公开工作具体实施股室，并安排专门人员负责信息收集和公开工作，为防止信息的不规范和不及时，我局定期对已发布的信息进行检查，确保信息的正确和及时</w:t>
      </w:r>
      <w:r>
        <w:rPr>
          <w:rFonts w:hint="eastAsia" w:ascii="仿宋_GB2312" w:hAnsi="仿宋_GB2312" w:eastAsia="仿宋_GB2312" w:cs="仿宋_GB2312"/>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三、收到和处理政府信息公开申请情况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63"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3"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8"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lang w:val="en-US" w:eastAsia="zh-CN" w:bidi="ar-SA"/>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24"/>
          <w:szCs w:val="24"/>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fill="FFFFFF"/>
        </w:rPr>
        <w:t>四、政府信息公开行政复议、行政诉讼情况</w:t>
      </w:r>
    </w:p>
    <w:tbl>
      <w:tblPr>
        <w:tblStyle w:val="6"/>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0"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黑体" w:hAnsi="宋体" w:eastAsia="黑体" w:cs="黑体"/>
          <w:b w:val="0"/>
          <w:bCs w:val="0"/>
          <w:i w:val="0"/>
          <w:iCs w:val="0"/>
          <w:caps w:val="0"/>
          <w:color w:val="333333"/>
          <w:spacing w:val="0"/>
          <w:kern w:val="0"/>
          <w:sz w:val="32"/>
          <w:szCs w:val="32"/>
          <w:bdr w:val="none" w:color="auto" w:sz="0" w:space="0"/>
          <w:shd w:val="clear" w:fill="FFFFFF"/>
          <w:lang w:val="en-US" w:eastAsia="zh-CN" w:bidi="ar"/>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4"/>
          <w:szCs w:val="24"/>
        </w:rPr>
      </w:pPr>
      <w:r>
        <w:rPr>
          <w:rFonts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（一）存在</w:t>
      </w: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的主要问题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今年以来，县投资促进局在县政府公开办的指导下，做好政务公开工作，但仍存在不少问题，具体如下：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一是</w:t>
      </w:r>
      <w:r>
        <w:rPr>
          <w:rFonts w:hint="eastAsia"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我局主动公开发布的政府信息数量较少，主动性不强，部分信息没能及时更新。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bCs/>
          <w:i w:val="0"/>
          <w:iCs w:val="0"/>
          <w:caps w:val="0"/>
          <w:color w:val="333333"/>
          <w:spacing w:val="0"/>
          <w:kern w:val="0"/>
          <w:sz w:val="32"/>
          <w:szCs w:val="32"/>
          <w:bdr w:val="none" w:color="auto" w:sz="0" w:space="0"/>
          <w:shd w:val="clear" w:fill="FFFFFF"/>
          <w:lang w:val="en-US" w:eastAsia="zh-CN" w:bidi="ar"/>
        </w:rPr>
        <w:t>二是</w:t>
      </w:r>
      <w:r>
        <w:rPr>
          <w:rFonts w:hint="eastAsia"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公开发布的政府信息内容不全面，对招商引资和企业帮扶工作发布信息不够多。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both"/>
        <w:rPr>
          <w:rFonts w:hint="eastAsia" w:ascii="宋体" w:hAnsi="宋体" w:eastAsia="宋体" w:cs="宋体"/>
          <w:i w:val="0"/>
          <w:iCs w:val="0"/>
          <w:caps w:val="0"/>
          <w:color w:val="333333"/>
          <w:spacing w:val="0"/>
          <w:sz w:val="24"/>
          <w:szCs w:val="24"/>
        </w:rPr>
      </w:pPr>
      <w:r>
        <w:rPr>
          <w:rFonts w:hint="eastAsia" w:ascii="楷体_GB2312" w:hAnsi="宋体" w:eastAsia="楷体_GB2312" w:cs="楷体_GB2312"/>
          <w:b/>
          <w:bCs/>
          <w:i w:val="0"/>
          <w:iCs w:val="0"/>
          <w:caps w:val="0"/>
          <w:color w:val="333333"/>
          <w:spacing w:val="0"/>
          <w:kern w:val="0"/>
          <w:sz w:val="32"/>
          <w:szCs w:val="32"/>
          <w:bdr w:val="none" w:color="auto" w:sz="0" w:space="0"/>
          <w:shd w:val="clear" w:fill="FFFFFF"/>
          <w:lang w:val="en-US" w:eastAsia="zh-CN" w:bidi="ar"/>
        </w:rPr>
        <w:t>（二）改进情况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_GB2312" w:hAnsi="宋体" w:eastAsia="仿宋_GB2312" w:cs="仿宋_GB2312"/>
          <w:b w:val="0"/>
          <w:bCs w:val="0"/>
          <w:i w:val="0"/>
          <w:iCs w:val="0"/>
          <w:caps w:val="0"/>
          <w:color w:val="333333"/>
          <w:spacing w:val="0"/>
          <w:kern w:val="0"/>
          <w:sz w:val="32"/>
          <w:szCs w:val="32"/>
          <w:bdr w:val="none" w:color="auto" w:sz="0" w:space="0"/>
          <w:shd w:val="clear" w:fill="FFFFFF"/>
          <w:lang w:val="en-US" w:eastAsia="zh-CN" w:bidi="ar"/>
        </w:rPr>
        <w:t>2022年，我局将继续围绕中心工作，贯彻落实《政府信息公开条例》和省市县政府信息公开工作要求，严格落实相关规章制度，及时做好信息更新发布，及时检查监督信息公开过程中的问题，打造规范高效透明的服务型局机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六、</w:t>
      </w:r>
      <w:r>
        <w:rPr>
          <w:rFonts w:hint="eastAsia" w:ascii="黑体" w:hAnsi="黑体" w:eastAsia="黑体" w:cs="黑体"/>
          <w:b w:val="0"/>
          <w:bCs w:val="0"/>
          <w:i w:val="0"/>
          <w:iCs w:val="0"/>
          <w:caps w:val="0"/>
          <w:color w:val="333333"/>
          <w:spacing w:val="0"/>
          <w:sz w:val="32"/>
          <w:szCs w:val="32"/>
          <w:shd w:val="clear" w:fill="FFFFFF"/>
        </w:rPr>
        <w:t>其他需要报告的事项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fill="FFFFFF"/>
          <w:lang w:val="en-US" w:eastAsia="zh-CN" w:bidi="ar"/>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701" w:right="1361" w:bottom="1587"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40FAC"/>
    <w:rsid w:val="084560A8"/>
    <w:rsid w:val="12A52565"/>
    <w:rsid w:val="12F72695"/>
    <w:rsid w:val="21BF0821"/>
    <w:rsid w:val="22421497"/>
    <w:rsid w:val="235A2EF8"/>
    <w:rsid w:val="31A35A6A"/>
    <w:rsid w:val="323B5CA2"/>
    <w:rsid w:val="35E87EEF"/>
    <w:rsid w:val="37227431"/>
    <w:rsid w:val="37D27A27"/>
    <w:rsid w:val="3AB605BC"/>
    <w:rsid w:val="3ED92ACB"/>
    <w:rsid w:val="40A9471F"/>
    <w:rsid w:val="42B72D0B"/>
    <w:rsid w:val="43310387"/>
    <w:rsid w:val="481608EC"/>
    <w:rsid w:val="4FE90FDC"/>
    <w:rsid w:val="54273E81"/>
    <w:rsid w:val="557F6076"/>
    <w:rsid w:val="57AC4DC9"/>
    <w:rsid w:val="5A236E98"/>
    <w:rsid w:val="5A9F29C3"/>
    <w:rsid w:val="5D4A130C"/>
    <w:rsid w:val="6008725C"/>
    <w:rsid w:val="606F4BE5"/>
    <w:rsid w:val="621E68C3"/>
    <w:rsid w:val="670047E9"/>
    <w:rsid w:val="6ADF0BB9"/>
    <w:rsid w:val="6D9143ED"/>
    <w:rsid w:val="6E0A258E"/>
    <w:rsid w:val="752124FA"/>
    <w:rsid w:val="7C6B747A"/>
    <w:rsid w:val="7E893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xzf</dc:creator>
  <cp:lastModifiedBy>Administrator</cp:lastModifiedBy>
  <cp:lastPrinted>2022-01-12T01:49:00Z</cp:lastPrinted>
  <dcterms:modified xsi:type="dcterms:W3CDTF">2022-02-24T01:19:58Z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1C805F1DC2F841FBA104818EFFD5DDE4</vt:lpwstr>
  </property>
</Properties>
</file>