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农业农村局202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年度政府信息公开工作年度报告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本报告根据修订后的《中华人民共和国政府信息公开条例》（以下简称新《条例》）和《国务院办公厅政府信息与政务公开办公室关于印发&lt;中华人民共和国政府信息公开工作年度报告格式&gt;的通知》（国办公开办函〔2021〕30号）要求，综合各二级机构、股室及网站各栏目有关统计数据形成。本报告由凤阳县农业农村局办公室编制，报告内容包括：总体情况，主动公开政府信息情况，收到和处理政府信息公开申请情况，政府信息公开行政复议、行政诉讼情况，存在的主要问题及改进情况，其他需要报告的事项等六个部分组成。本年度报告中使用数据统计期限为2022年1月1日起2022年12月31日止。本报告电子版可在凤阳县人民政府网站信息公开板块（https://www.fengyang.gov.cn/zwgk/index.html）下载。如对本报告有疑问，请与凤阳县农业农村局办公室联系（地址：凤阳县新城区粮食局大楼，联系电话：0550-6721242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2022年，我局政务公开工作在县政府办不断强化培训激励下，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结合我局工作实际，依法公开政务信息，进一步规范政府信息公开工作，全力保障公民、法人和其他组织依法获取相关政策、政务信息。现就202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年度政府信息公开工作报告如下：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（一）主动公开情况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以便民利民为民为宗旨，发布政务信息公开指南，及时更新维护“政策法规、重大决策预公开、规划计划、决策部署落实情况、机构设置、财政资金、建议提案办理、应急管理、精准脱贫、权责清单和动态调整、公共服务清单和动态调整、行政权力运行、招标采购、新闻发布、政策解读、回应关切、监督保障、人事信息”等多个栏目信息，及时更新基层政务公开标准化和规范化栏目，涉农补贴栏目。全年主动公开政府信息449条。 报送县政府网站信息47条，</w:t>
      </w:r>
      <w:r>
        <w:rPr>
          <w:rFonts w:hint="eastAsia" w:ascii="仿宋_GB2312" w:hAnsi="仿宋_GB2312" w:eastAsia="仿宋_GB2312" w:cs="仿宋_GB2312"/>
          <w:sz w:val="32"/>
          <w:szCs w:val="32"/>
        </w:rPr>
        <w:t>收到书记信箱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县长信箱3件，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部门信箱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件，均及时答复。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圆满完成新闻发布及在线访谈任务。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（二）依申请公开情况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全年共收到依申请公开申请3件，均依法依规答复。全年未发生针对我局有关政府信息公开事务的行政复议案、行政诉讼案和有关的申诉案。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（三）政府信息管理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及时调整信息公开工作领导小组，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信息公开办公室设在人秘股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同时明确信息员具体负责政府信息公开内容维护、组织协调等日常工作。每个业务科室明确1位信息员，负责收集、整理政府信息，由局信息员统一发布，确保信息公开全面、及时、准确、无差错。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（四）平台建设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依托县政府门户网，在县政府公开办统一部署下，严格执行《条例》规定，全面公开各类主动公开事项。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（五）监督保障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2022年，我局在沿用以前年度各项信息公开制度基础上，制定《凤阳县农业农村局信息公开统计制度》，认真自查整改信息公开网站问题，撰写政府信息公开工作总结，编报政府信息公开工作年度报告。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42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420" w:leftChars="0"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三、收到和处理政府信息公开申请情况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fill="FFFFFF"/>
          <w:lang w:val="en-US" w:eastAsia="zh-CN" w:bidi="ar"/>
        </w:rPr>
        <w:t xml:space="preserve"> </w:t>
      </w: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942"/>
        <w:gridCol w:w="3268"/>
        <w:gridCol w:w="643"/>
        <w:gridCol w:w="689"/>
        <w:gridCol w:w="689"/>
        <w:gridCol w:w="689"/>
        <w:gridCol w:w="689"/>
        <w:gridCol w:w="689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71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77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1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6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自然人</w:t>
            </w:r>
          </w:p>
        </w:tc>
        <w:tc>
          <w:tcPr>
            <w:tcW w:w="3445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1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6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企业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机构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社会公益组织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法律服务机构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三、本年度办理结果</w:t>
            </w:r>
          </w:p>
        </w:tc>
        <w:tc>
          <w:tcPr>
            <w:tcW w:w="421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（一）予以公开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421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94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（三）不予公开</w:t>
            </w:r>
          </w:p>
        </w:tc>
        <w:tc>
          <w:tcPr>
            <w:tcW w:w="3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1.属于国家秘密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942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2.其他法律行政法规禁止公开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942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3.危及“三安全一稳定”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942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4.保护第三方合法权益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942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5.属于三类内部事务信息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942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6.属于四类过程性信息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942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7.属于行政执法案卷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942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8.属于行政查询事项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94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（四）无法提供</w:t>
            </w:r>
          </w:p>
        </w:tc>
        <w:tc>
          <w:tcPr>
            <w:tcW w:w="3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1.本机关不掌握相关政府信息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942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2.没有现成信息需要另行制作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942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3.补正后申请内容仍不明确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94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（五）不予处理</w:t>
            </w:r>
          </w:p>
        </w:tc>
        <w:tc>
          <w:tcPr>
            <w:tcW w:w="3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1.信访举报投诉类申请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942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2.重复申请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942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3.要求提供公开出版物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942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4.无正当理由大量反复申请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942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94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（六）其他处理</w:t>
            </w:r>
          </w:p>
        </w:tc>
        <w:tc>
          <w:tcPr>
            <w:tcW w:w="3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942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942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3.其他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421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（七）总计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四、结转下年度继续办理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fill="FFFFFF"/>
          <w:lang w:val="en-US" w:eastAsia="zh-CN" w:bidi="ar"/>
        </w:rPr>
        <w:t xml:space="preserve"> </w:t>
      </w:r>
    </w:p>
    <w:tbl>
      <w:tblPr>
        <w:tblStyle w:val="3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存在问题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信息发布不及时。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改进情况：（一）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加强信息收集、编写、公布等工作的统一管理，进一步提高报送信息的主动性，保证公开信息的及时、准确和全面。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增强专业素养，稳定人员队伍，加强信息公开工作人员业务能力和水平。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42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按照《国务院办公厅关于印发〈政府信息公开信息处理费管理办法〉的通知》（国办函〔2020〕109号）规定的按件、按量收费标准，本年度没有产生信息公开处理费。无其他需要报告的事项。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EDD371"/>
    <w:multiLevelType w:val="singleLevel"/>
    <w:tmpl w:val="A1EDD37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ZmNjY2ZhYjY0ZTNiNWE0MmU3ZTZmNGVkNDM4ZDYifQ=="/>
  </w:docVars>
  <w:rsids>
    <w:rsidRoot w:val="39F16B62"/>
    <w:rsid w:val="00C36B5B"/>
    <w:rsid w:val="0DA0263F"/>
    <w:rsid w:val="1842638F"/>
    <w:rsid w:val="39F16B62"/>
    <w:rsid w:val="6B674082"/>
    <w:rsid w:val="796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2176</Words>
  <Characters>2287</Characters>
  <Lines>0</Lines>
  <Paragraphs>0</Paragraphs>
  <TotalTime>7</TotalTime>
  <ScaleCrop>false</ScaleCrop>
  <LinksUpToDate>false</LinksUpToDate>
  <CharactersWithSpaces>2290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2023-01-16T03:23:00Z</dcterms:created>
  <dc:creator>lenovo</dc:creator>
  <cp:lastModifiedBy>lenovo</cp:lastModifiedBy>
  <dcterms:modified xsi:type="dcterms:W3CDTF">2023-01-20T01:21:56Z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C4DCAD90D26F44B89A0D01EAE864C188</vt:lpwstr>
  </property>
</Properties>
</file>