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75" w:lineRule="atLeast"/>
        <w:jc w:val="center"/>
        <w:outlineLvl w:val="0"/>
        <w:rPr>
          <w:rFonts w:hint="eastAsia" w:ascii="方正小标宋简体" w:hAnsi="宋体" w:eastAsia="方正小标宋简体" w:cs="宋体"/>
          <w:b/>
          <w:bCs/>
          <w:color w:val="auto"/>
          <w:kern w:val="36"/>
          <w:sz w:val="44"/>
          <w:szCs w:val="44"/>
        </w:rPr>
      </w:pPr>
      <w:r>
        <w:rPr>
          <w:rFonts w:hint="eastAsia" w:ascii="方正小标宋简体" w:hAnsi="宋体" w:eastAsia="方正小标宋简体" w:cs="宋体"/>
          <w:b/>
          <w:bCs/>
          <w:color w:val="auto"/>
          <w:kern w:val="36"/>
          <w:sz w:val="44"/>
          <w:szCs w:val="44"/>
        </w:rPr>
        <w:t>凤阳县供销社2022年度政府信息公开工作</w:t>
      </w:r>
    </w:p>
    <w:p>
      <w:pPr>
        <w:widowControl/>
        <w:shd w:val="clear" w:color="auto" w:fill="FFFFFF"/>
        <w:spacing w:line="675" w:lineRule="atLeast"/>
        <w:jc w:val="center"/>
        <w:outlineLvl w:val="0"/>
        <w:rPr>
          <w:rFonts w:hint="eastAsia" w:ascii="方正小标宋简体" w:hAnsi="宋体" w:eastAsia="方正小标宋简体" w:cs="宋体"/>
          <w:b/>
          <w:bCs/>
          <w:color w:val="auto"/>
          <w:kern w:val="36"/>
          <w:sz w:val="44"/>
          <w:szCs w:val="44"/>
        </w:rPr>
      </w:pPr>
      <w:r>
        <w:rPr>
          <w:rFonts w:hint="eastAsia" w:ascii="方正小标宋简体" w:hAnsi="宋体" w:eastAsia="方正小标宋简体" w:cs="宋体"/>
          <w:b/>
          <w:bCs/>
          <w:color w:val="auto"/>
          <w:kern w:val="36"/>
          <w:sz w:val="44"/>
          <w:szCs w:val="44"/>
        </w:rPr>
        <w:t>年度报告</w:t>
      </w:r>
    </w:p>
    <w:p>
      <w:pPr>
        <w:widowControl/>
        <w:shd w:val="clear" w:color="auto" w:fill="FFFFFF"/>
        <w:wordWrap w:val="0"/>
        <w:spacing w:line="560" w:lineRule="atLeast"/>
        <w:ind w:firstLine="64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本报告根据《中华人民共和国政府信息公开条例》（国务院令711号）、《国务院办公厅政府信息与政务公开办公室关于印发&lt;中华人民共和国政府信息公开工作年度报告格式&gt;的通知》（国办公开办函〔2021〕30号）、《安徽省政务公开办公室关于做好2022年度政府信息公开工作年度报告编制和发数据报送工作的通知》（皖政务办秘〔2023〕1号）和《滁州市政务公开办公室关于做好2022年度政府信息公开工作年度报告编制和发布工作的通知》（滁政务办〔2023〕1号）要求进行编制，全文由2022年凤阳县供销社政府信息公开工作总体情况、主动公开政府信息情况、收到和处理政府信息公开申请情况、政府信息公开行政复议和行政诉讼情况、存在的主要问题及改进情况、其他需要报告的事项等六个部分组成。本报告中所列数据的统计期限从2022年1月1日至12月31日止，本报告电子版可以从凤阳县人民政府网站信息公开板块（网址：https://www.fengyang.gov.cn/zwgk/index.html）下载，如对本报告有疑问，请与凤阳县供销社联系（地址：凤阳县中都大道，联系电话：0550-2223869）。</w:t>
      </w:r>
    </w:p>
    <w:p>
      <w:pPr>
        <w:widowControl/>
        <w:shd w:val="clear" w:color="auto" w:fill="FFFFFF"/>
        <w:spacing w:line="675" w:lineRule="atLeast"/>
        <w:ind w:firstLine="643" w:firstLineChars="200"/>
        <w:jc w:val="left"/>
        <w:outlineLvl w:val="0"/>
        <w:rPr>
          <w:rFonts w:hint="eastAsia" w:ascii="宋体" w:hAnsi="宋体" w:eastAsia="宋体" w:cs="宋体"/>
          <w:b/>
          <w:bCs/>
          <w:color w:val="auto"/>
          <w:kern w:val="36"/>
          <w:sz w:val="32"/>
          <w:szCs w:val="32"/>
        </w:rPr>
      </w:pPr>
      <w:r>
        <w:rPr>
          <w:rFonts w:hint="eastAsia" w:ascii="宋体" w:hAnsi="宋体" w:eastAsia="宋体" w:cs="宋体"/>
          <w:b/>
          <w:bCs/>
          <w:color w:val="auto"/>
          <w:kern w:val="36"/>
          <w:sz w:val="32"/>
          <w:szCs w:val="32"/>
        </w:rPr>
        <w:t>一、总体情况</w:t>
      </w:r>
    </w:p>
    <w:p>
      <w:pPr>
        <w:widowControl/>
        <w:shd w:val="clear" w:color="auto" w:fill="FFFFFF"/>
        <w:spacing w:line="675" w:lineRule="atLeast"/>
        <w:ind w:firstLine="640" w:firstLineChars="200"/>
        <w:jc w:val="left"/>
        <w:outlineLvl w:val="0"/>
        <w:rPr>
          <w:rFonts w:hint="eastAsia" w:ascii="宋体" w:hAnsi="宋体" w:eastAsia="宋体" w:cs="宋体"/>
          <w:b/>
          <w:bCs/>
          <w:color w:val="auto"/>
          <w:kern w:val="36"/>
          <w:sz w:val="32"/>
          <w:szCs w:val="32"/>
        </w:rPr>
      </w:pPr>
      <w:r>
        <w:rPr>
          <w:rFonts w:ascii="仿宋_GB2312" w:hAnsi="宋体" w:eastAsia="仿宋_GB2312" w:cs="仿宋_GB2312"/>
          <w:b w:val="0"/>
          <w:bCs w:val="0"/>
          <w:i w:val="0"/>
          <w:iCs w:val="0"/>
          <w:caps w:val="0"/>
          <w:color w:val="auto"/>
          <w:spacing w:val="0"/>
          <w:sz w:val="32"/>
          <w:szCs w:val="32"/>
          <w:bdr w:val="none" w:color="auto" w:sz="0" w:space="0"/>
          <w:shd w:val="clear" w:fill="FFFFFF"/>
        </w:rPr>
        <w:t>202</w:t>
      </w:r>
      <w:r>
        <w:rPr>
          <w:rFonts w:hint="eastAsia" w:ascii="仿宋_GB2312" w:hAnsi="宋体" w:eastAsia="仿宋_GB2312" w:cs="仿宋_GB2312"/>
          <w:b w:val="0"/>
          <w:bCs w:val="0"/>
          <w:i w:val="0"/>
          <w:iCs w:val="0"/>
          <w:caps w:val="0"/>
          <w:color w:val="auto"/>
          <w:spacing w:val="0"/>
          <w:sz w:val="32"/>
          <w:szCs w:val="32"/>
          <w:bdr w:val="none" w:color="auto" w:sz="0" w:space="0"/>
          <w:shd w:val="clear" w:fill="FFFFFF"/>
          <w:lang w:val="en-US" w:eastAsia="zh-CN"/>
        </w:rPr>
        <w:t>2</w:t>
      </w:r>
      <w:r>
        <w:rPr>
          <w:rFonts w:hint="eastAsia" w:ascii="仿宋_GB2312" w:hAnsi="宋体" w:eastAsia="仿宋_GB2312" w:cs="仿宋_GB2312"/>
          <w:b w:val="0"/>
          <w:bCs w:val="0"/>
          <w:i w:val="0"/>
          <w:iCs w:val="0"/>
          <w:caps w:val="0"/>
          <w:color w:val="auto"/>
          <w:spacing w:val="0"/>
          <w:sz w:val="32"/>
          <w:szCs w:val="32"/>
          <w:bdr w:val="none" w:color="auto" w:sz="0" w:space="0"/>
          <w:shd w:val="clear" w:fill="FFFFFF"/>
        </w:rPr>
        <w:t>年，凤阳县供销社认真贯彻落实《中华人民共和国政府信息公开条例》，紧紧围绕县委、县政府中心工作，细化公开任务，加大公开力度，拓展公开范围，强化解读回应，增强公开实效，提升政府的透明度和公信力，切实保障公众知情权、参与权，政务信息工作取得了显著成效。同时通过开展业务培训，提高工作人员的业务素质，实行政务公开承诺、并进一步完善了信息发布和上报机制。</w:t>
      </w:r>
    </w:p>
    <w:p>
      <w:pPr>
        <w:widowControl/>
        <w:shd w:val="clear" w:color="auto" w:fill="FFFFFF"/>
        <w:spacing w:line="560" w:lineRule="atLeast"/>
        <w:ind w:firstLine="321" w:firstLineChars="100"/>
        <w:jc w:val="left"/>
        <w:rPr>
          <w:rFonts w:hint="eastAsia" w:ascii="宋体" w:hAnsi="宋体" w:eastAsia="宋体" w:cs="宋体"/>
          <w:color w:val="auto"/>
          <w:kern w:val="0"/>
          <w:sz w:val="24"/>
          <w:szCs w:val="24"/>
        </w:rPr>
      </w:pPr>
      <w:r>
        <w:rPr>
          <w:rFonts w:hint="eastAsia" w:ascii="楷体" w:hAnsi="楷体" w:eastAsia="楷体" w:cs="宋体"/>
          <w:b/>
          <w:bCs/>
          <w:color w:val="auto"/>
          <w:kern w:val="0"/>
          <w:sz w:val="32"/>
          <w:szCs w:val="32"/>
          <w:shd w:val="clear" w:color="auto" w:fill="FFFFFF"/>
        </w:rPr>
        <w:t>（一）主动公开</w:t>
      </w:r>
    </w:p>
    <w:p>
      <w:pPr>
        <w:widowControl/>
        <w:shd w:val="clear" w:color="auto" w:fill="FFFFFF"/>
        <w:wordWrap w:val="0"/>
        <w:spacing w:line="560" w:lineRule="atLeast"/>
        <w:ind w:firstLine="640"/>
        <w:jc w:val="left"/>
        <w:rPr>
          <w:rFonts w:hint="eastAsia" w:ascii="宋体" w:hAnsi="宋体" w:eastAsia="宋体" w:cs="宋体"/>
          <w:color w:val="auto"/>
          <w:kern w:val="0"/>
          <w:sz w:val="24"/>
          <w:szCs w:val="24"/>
        </w:rPr>
      </w:pPr>
      <w:r>
        <w:rPr>
          <w:rFonts w:hint="eastAsia" w:ascii="仿宋_GB2312" w:hAnsi="宋体" w:eastAsia="仿宋_GB2312" w:cs="宋体"/>
          <w:color w:val="auto"/>
          <w:kern w:val="0"/>
          <w:sz w:val="32"/>
          <w:szCs w:val="32"/>
          <w:lang w:val="en-US" w:eastAsia="zh-CN"/>
        </w:rPr>
        <w:t>2022年度，</w:t>
      </w:r>
      <w:r>
        <w:rPr>
          <w:rFonts w:hint="eastAsia" w:ascii="仿宋_GB2312" w:hAnsi="宋体" w:eastAsia="仿宋_GB2312" w:cs="宋体"/>
          <w:color w:val="auto"/>
          <w:kern w:val="0"/>
          <w:sz w:val="32"/>
          <w:szCs w:val="32"/>
        </w:rPr>
        <w:t>我社努力提升政务公开水平，全面推进决策、执行、管理、服务、结果“五公开”，截至202</w:t>
      </w: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年12月31日，本年度信息公开目录信息更新量</w:t>
      </w:r>
      <w:r>
        <w:rPr>
          <w:rFonts w:hint="eastAsia" w:ascii="仿宋_GB2312" w:hAnsi="宋体" w:eastAsia="仿宋_GB2312" w:cs="宋体"/>
          <w:color w:val="auto"/>
          <w:kern w:val="0"/>
          <w:sz w:val="32"/>
          <w:szCs w:val="32"/>
          <w:lang w:val="en-US" w:eastAsia="zh-CN"/>
        </w:rPr>
        <w:t>127</w:t>
      </w:r>
      <w:r>
        <w:rPr>
          <w:rFonts w:hint="eastAsia" w:ascii="仿宋_GB2312" w:hAnsi="宋体" w:eastAsia="仿宋_GB2312" w:cs="宋体"/>
          <w:color w:val="auto"/>
          <w:kern w:val="0"/>
          <w:sz w:val="32"/>
          <w:szCs w:val="32"/>
        </w:rPr>
        <w:t>条。完善重大行政决策公众参与平台，在政府门户网站、政务新媒体平台开展政策解读、网上调查、民意征集、政务咨询专栏，开展重大民生决策事项民意调查，及时公开意见征集采纳情况。</w:t>
      </w:r>
    </w:p>
    <w:p>
      <w:pPr>
        <w:widowControl/>
        <w:shd w:val="clear" w:color="auto" w:fill="FFFFFF"/>
        <w:spacing w:line="560" w:lineRule="atLeast"/>
        <w:ind w:firstLine="420"/>
        <w:jc w:val="left"/>
        <w:rPr>
          <w:rFonts w:hint="eastAsia" w:ascii="宋体" w:hAnsi="宋体" w:eastAsia="宋体" w:cs="宋体"/>
          <w:color w:val="auto"/>
          <w:kern w:val="0"/>
          <w:sz w:val="24"/>
          <w:szCs w:val="24"/>
        </w:rPr>
      </w:pPr>
      <w:r>
        <w:rPr>
          <w:rFonts w:hint="eastAsia" w:ascii="楷体" w:hAnsi="楷体" w:eastAsia="楷体" w:cs="宋体"/>
          <w:b/>
          <w:bCs/>
          <w:color w:val="auto"/>
          <w:kern w:val="0"/>
          <w:sz w:val="32"/>
          <w:szCs w:val="32"/>
          <w:shd w:val="clear" w:color="auto" w:fill="FFFFFF"/>
        </w:rPr>
        <w:t>（二）依申请公开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both"/>
        <w:rPr>
          <w:rFonts w:hint="eastAsia" w:ascii="宋体" w:hAnsi="宋体" w:eastAsia="宋体" w:cs="宋体"/>
          <w:i w:val="0"/>
          <w:iCs w:val="0"/>
          <w:caps w:val="0"/>
          <w:color w:val="auto"/>
          <w:spacing w:val="0"/>
          <w:sz w:val="19"/>
          <w:szCs w:val="19"/>
        </w:rPr>
      </w:pPr>
      <w:r>
        <w:rPr>
          <w:rFonts w:ascii="仿宋_GB2312" w:hAnsi="宋体" w:eastAsia="仿宋_GB2312" w:cs="仿宋_GB2312"/>
          <w:b w:val="0"/>
          <w:bCs w:val="0"/>
          <w:i w:val="0"/>
          <w:iCs w:val="0"/>
          <w:caps w:val="0"/>
          <w:color w:val="auto"/>
          <w:spacing w:val="0"/>
          <w:sz w:val="32"/>
          <w:szCs w:val="32"/>
          <w:bdr w:val="none" w:color="auto" w:sz="0" w:space="0"/>
          <w:shd w:val="clear" w:fill="FFFFFF"/>
        </w:rPr>
        <w:t>根据机构改革职责调整变化，及时更新并发布了依申请公开条件、流程说明以及受理通信地址和联系电话，确保政务公开网上申请平台的渠道畅通。建立完善依申请公开制度规范，做好信函、来访申请的登记、办理工作。健全完善依申请公开答复文本，进一步规范政务公开答复格式规范全年没有因政府信息公开工作而被申请行政复议或被提起行政诉讼情况。</w:t>
      </w:r>
    </w:p>
    <w:p>
      <w:pPr>
        <w:widowControl/>
        <w:shd w:val="clear" w:color="auto" w:fill="FFFFFF"/>
        <w:wordWrap w:val="0"/>
        <w:spacing w:line="560" w:lineRule="atLeast"/>
        <w:ind w:firstLine="640"/>
        <w:jc w:val="left"/>
        <w:rPr>
          <w:rFonts w:hint="eastAsia" w:ascii="宋体" w:hAnsi="宋体" w:eastAsia="宋体" w:cs="宋体"/>
          <w:color w:val="auto"/>
          <w:kern w:val="0"/>
          <w:sz w:val="24"/>
          <w:szCs w:val="24"/>
        </w:rPr>
      </w:pPr>
      <w:r>
        <w:rPr>
          <w:rFonts w:hint="eastAsia" w:ascii="仿宋_GB2312" w:hAnsi="宋体" w:eastAsia="仿宋_GB2312" w:cs="宋体"/>
          <w:color w:val="auto"/>
          <w:kern w:val="0"/>
          <w:sz w:val="32"/>
          <w:szCs w:val="32"/>
        </w:rPr>
        <w:t>2022年凤阳县供销社未收到依申请公开办件。</w:t>
      </w:r>
    </w:p>
    <w:p>
      <w:pPr>
        <w:widowControl/>
        <w:shd w:val="clear" w:color="auto" w:fill="FFFFFF"/>
        <w:spacing w:line="560" w:lineRule="atLeast"/>
        <w:ind w:firstLine="420"/>
        <w:jc w:val="left"/>
        <w:rPr>
          <w:rFonts w:hint="eastAsia" w:ascii="宋体" w:hAnsi="宋体" w:eastAsia="宋体" w:cs="宋体"/>
          <w:color w:val="auto"/>
          <w:kern w:val="0"/>
          <w:sz w:val="24"/>
          <w:szCs w:val="24"/>
        </w:rPr>
      </w:pPr>
      <w:r>
        <w:rPr>
          <w:rFonts w:hint="eastAsia" w:ascii="楷体" w:hAnsi="楷体" w:eastAsia="楷体" w:cs="宋体"/>
          <w:b/>
          <w:bCs/>
          <w:color w:val="auto"/>
          <w:kern w:val="0"/>
          <w:sz w:val="32"/>
          <w:szCs w:val="32"/>
          <w:shd w:val="clear" w:color="auto" w:fill="FFFFFF"/>
        </w:rPr>
        <w:t>（三）政府信息管理</w:t>
      </w:r>
    </w:p>
    <w:p>
      <w:pPr>
        <w:widowControl/>
        <w:shd w:val="clear" w:color="auto" w:fill="FFFFFF"/>
        <w:wordWrap w:val="0"/>
        <w:spacing w:line="560" w:lineRule="atLeast"/>
        <w:ind w:firstLine="640"/>
        <w:jc w:val="left"/>
        <w:rPr>
          <w:rFonts w:hint="eastAsia" w:ascii="宋体" w:hAnsi="宋体" w:eastAsia="宋体" w:cs="宋体"/>
          <w:color w:val="auto"/>
          <w:kern w:val="0"/>
          <w:sz w:val="24"/>
          <w:szCs w:val="24"/>
        </w:rPr>
      </w:pPr>
      <w:r>
        <w:rPr>
          <w:rFonts w:hint="eastAsia" w:ascii="仿宋_GB2312" w:hAnsi="宋体" w:eastAsia="仿宋_GB2312" w:cs="宋体"/>
          <w:color w:val="auto"/>
          <w:kern w:val="0"/>
          <w:sz w:val="32"/>
          <w:szCs w:val="32"/>
        </w:rPr>
        <w:t>我社高度重视政府信息公开工作，把政府信息公开纳入年度工作计划，摆上重要议事日程，切实加强组织领导，成立由县社主要领导为组长，分管领导为副组长，各股室负责人为成员的领导小组。领导小组下设办公室，政府信息公开办公室设在县社办公室，具体负责此项工作。同时把政府信息公开工作列入部门年终绩效考评目标，各部门均按要求成立相应的组织，把具体工作责任明确到人，确保各项工作顺利开展。</w:t>
      </w:r>
    </w:p>
    <w:p>
      <w:pPr>
        <w:widowControl/>
        <w:shd w:val="clear" w:color="auto" w:fill="FFFFFF"/>
        <w:spacing w:line="560" w:lineRule="atLeast"/>
        <w:ind w:firstLine="420"/>
        <w:jc w:val="left"/>
        <w:rPr>
          <w:rFonts w:hint="eastAsia" w:ascii="宋体" w:hAnsi="宋体" w:eastAsia="宋体" w:cs="宋体"/>
          <w:color w:val="auto"/>
          <w:kern w:val="0"/>
          <w:sz w:val="24"/>
          <w:szCs w:val="24"/>
        </w:rPr>
      </w:pPr>
      <w:r>
        <w:rPr>
          <w:rFonts w:hint="eastAsia" w:ascii="楷体" w:hAnsi="楷体" w:eastAsia="楷体" w:cs="宋体"/>
          <w:b/>
          <w:bCs/>
          <w:color w:val="auto"/>
          <w:kern w:val="0"/>
          <w:sz w:val="32"/>
          <w:szCs w:val="32"/>
          <w:shd w:val="clear" w:color="auto" w:fill="FFFFFF"/>
        </w:rPr>
        <w:t>（四）政府信息公开平台建设</w:t>
      </w:r>
    </w:p>
    <w:p>
      <w:pPr>
        <w:widowControl/>
        <w:shd w:val="clear" w:color="auto" w:fill="FFFFFF"/>
        <w:wordWrap w:val="0"/>
        <w:spacing w:line="560" w:lineRule="atLeast"/>
        <w:ind w:firstLine="64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供销社目录按照信息公开要求进行调整完善，实现了栏目的优化升级以“五公开”为主体，突出重点领域信息公开，制作回应关切、政策解读、新闻发布会、财政信息公开等专题，认真落实基层政务公开标准化规范化试点工作。</w:t>
      </w:r>
    </w:p>
    <w:p>
      <w:pPr>
        <w:widowControl/>
        <w:shd w:val="clear" w:color="auto" w:fill="FFFFFF"/>
        <w:spacing w:line="560" w:lineRule="atLeast"/>
        <w:ind w:firstLine="420"/>
        <w:jc w:val="left"/>
        <w:rPr>
          <w:rFonts w:hint="eastAsia" w:ascii="宋体" w:hAnsi="宋体" w:eastAsia="宋体" w:cs="宋体"/>
          <w:color w:val="auto"/>
          <w:kern w:val="0"/>
          <w:sz w:val="24"/>
          <w:szCs w:val="24"/>
        </w:rPr>
      </w:pPr>
      <w:r>
        <w:rPr>
          <w:rFonts w:hint="eastAsia" w:ascii="楷体" w:hAnsi="楷体" w:eastAsia="楷体" w:cs="宋体"/>
          <w:b/>
          <w:bCs/>
          <w:color w:val="auto"/>
          <w:kern w:val="0"/>
          <w:sz w:val="32"/>
          <w:szCs w:val="32"/>
          <w:shd w:val="clear" w:color="auto" w:fill="FFFFFF"/>
        </w:rPr>
        <w:t>（五）监督保障</w:t>
      </w:r>
    </w:p>
    <w:p>
      <w:pPr>
        <w:widowControl/>
        <w:shd w:val="clear" w:color="auto" w:fill="FFFFFF"/>
        <w:wordWrap w:val="0"/>
        <w:spacing w:line="560" w:lineRule="atLeast"/>
        <w:ind w:firstLine="640"/>
        <w:jc w:val="left"/>
        <w:rPr>
          <w:rFonts w:hint="eastAsia" w:ascii="宋体" w:hAnsi="宋体" w:eastAsia="宋体" w:cs="宋体"/>
          <w:color w:val="auto"/>
          <w:kern w:val="0"/>
          <w:sz w:val="24"/>
          <w:szCs w:val="24"/>
        </w:rPr>
      </w:pPr>
      <w:r>
        <w:rPr>
          <w:rFonts w:hint="eastAsia" w:ascii="仿宋_GB2312" w:hAnsi="宋体" w:eastAsia="仿宋_GB2312" w:cs="宋体"/>
          <w:color w:val="auto"/>
          <w:kern w:val="0"/>
          <w:sz w:val="32"/>
          <w:szCs w:val="32"/>
        </w:rPr>
        <w:t>2022年在市县历次对政府网站工作检测中，均未出现单项否决和栏目得分不达标情况；对县政务公开办办公室在日常的通报指出的问题，均能按要求如期完成整改工作。</w:t>
      </w:r>
    </w:p>
    <w:p>
      <w:pPr>
        <w:widowControl/>
        <w:shd w:val="clear" w:color="auto" w:fill="FFFFFF"/>
        <w:wordWrap w:val="0"/>
        <w:spacing w:line="560" w:lineRule="atLeast"/>
        <w:ind w:firstLine="640"/>
        <w:jc w:val="left"/>
        <w:rPr>
          <w:rFonts w:hint="eastAsia" w:ascii="宋体" w:hAnsi="宋体" w:eastAsia="宋体" w:cs="宋体"/>
          <w:color w:val="auto"/>
          <w:kern w:val="0"/>
          <w:sz w:val="24"/>
          <w:szCs w:val="24"/>
        </w:rPr>
      </w:pPr>
      <w:r>
        <w:rPr>
          <w:rFonts w:hint="eastAsia" w:ascii="仿宋_GB2312" w:hAnsi="宋体" w:eastAsia="仿宋_GB2312" w:cs="宋体"/>
          <w:color w:val="auto"/>
          <w:kern w:val="0"/>
          <w:sz w:val="32"/>
          <w:szCs w:val="32"/>
        </w:rPr>
        <w:t>为更广泛地接受广大人民群众和社会各界的监督，安排专人每日查看网友留言等信息，并及时回复。2022年，没有发生因政府信息公开引起被举报、投诉的行为，没有发生一起失密事件和行政复议事件。</w:t>
      </w:r>
    </w:p>
    <w:p>
      <w:pPr>
        <w:widowControl/>
        <w:shd w:val="clear" w:color="auto" w:fill="FFFFFF"/>
        <w:spacing w:line="675" w:lineRule="atLeast"/>
        <w:ind w:firstLine="643"/>
        <w:jc w:val="left"/>
        <w:outlineLvl w:val="0"/>
        <w:rPr>
          <w:rFonts w:hint="eastAsia" w:ascii="宋体" w:hAnsi="宋体" w:eastAsia="宋体" w:cs="宋体"/>
          <w:color w:val="auto"/>
          <w:kern w:val="36"/>
          <w:sz w:val="30"/>
          <w:szCs w:val="30"/>
        </w:rPr>
      </w:pPr>
      <w:r>
        <w:rPr>
          <w:rFonts w:hint="eastAsia" w:ascii="宋体" w:hAnsi="宋体" w:eastAsia="宋体" w:cs="宋体"/>
          <w:b/>
          <w:bCs/>
          <w:color w:val="auto"/>
          <w:kern w:val="36"/>
          <w:sz w:val="32"/>
          <w:szCs w:val="32"/>
        </w:rPr>
        <w:t>二、主动公开政府信息情况</w:t>
      </w:r>
    </w:p>
    <w:tbl>
      <w:tblPr>
        <w:tblStyle w:val="4"/>
        <w:tblW w:w="9740" w:type="dxa"/>
        <w:jc w:val="center"/>
        <w:tblLayout w:type="autofit"/>
        <w:tblCellMar>
          <w:top w:w="15" w:type="dxa"/>
          <w:left w:w="15" w:type="dxa"/>
          <w:bottom w:w="15" w:type="dxa"/>
          <w:right w:w="15" w:type="dxa"/>
        </w:tblCellMar>
      </w:tblPr>
      <w:tblGrid>
        <w:gridCol w:w="2435"/>
        <w:gridCol w:w="2435"/>
        <w:gridCol w:w="2435"/>
        <w:gridCol w:w="2435"/>
      </w:tblGrid>
      <w:tr>
        <w:tblPrEx>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第二十条第（一）项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信息内容</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本年</w:t>
            </w:r>
            <w:r>
              <w:rPr>
                <w:rFonts w:hint="eastAsia" w:ascii="宋体" w:hAnsi="宋体" w:eastAsia="宋体" w:cs="宋体"/>
                <w:color w:val="auto"/>
                <w:kern w:val="0"/>
                <w:sz w:val="20"/>
                <w:szCs w:val="20"/>
              </w:rPr>
              <w:t>制发件数</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本年废止件数</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现行有效件</w:t>
            </w:r>
            <w:r>
              <w:rPr>
                <w:rFonts w:hint="eastAsia" w:ascii="宋体" w:hAnsi="宋体" w:eastAsia="宋体" w:cs="宋体"/>
                <w:color w:val="auto"/>
                <w:kern w:val="0"/>
                <w:sz w:val="20"/>
                <w:szCs w:val="20"/>
              </w:rPr>
              <w:t>数</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Cs w:val="21"/>
              </w:rPr>
              <w:t>0</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Calibri" w:hAnsi="Calibri" w:eastAsia="宋体" w:cs="宋体"/>
                <w:color w:val="auto"/>
                <w:kern w:val="0"/>
                <w:sz w:val="24"/>
                <w:szCs w:val="24"/>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第二十条第（五）项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本年处理决定数量</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Cs w:val="21"/>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第二十条第（六）项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本年处理决定数量</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0</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第二十条第（八）项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本年收费金额（单位：万元）</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wordWrap w:val="0"/>
              <w:spacing w:line="560" w:lineRule="atLeast"/>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0</w:t>
            </w:r>
          </w:p>
        </w:tc>
      </w:tr>
    </w:tbl>
    <w:p>
      <w:pPr>
        <w:widowControl/>
        <w:shd w:val="clear" w:color="auto" w:fill="FFFFFF"/>
        <w:spacing w:line="675" w:lineRule="atLeast"/>
        <w:jc w:val="left"/>
        <w:outlineLvl w:val="0"/>
        <w:rPr>
          <w:rFonts w:hint="eastAsia" w:ascii="宋体" w:hAnsi="宋体" w:eastAsia="宋体" w:cs="宋体"/>
          <w:color w:val="auto"/>
          <w:kern w:val="36"/>
          <w:sz w:val="30"/>
          <w:szCs w:val="30"/>
        </w:rPr>
      </w:pPr>
      <w:r>
        <w:rPr>
          <w:rFonts w:hint="eastAsia" w:ascii="宋体" w:hAnsi="宋体" w:eastAsia="宋体" w:cs="宋体"/>
          <w:b/>
          <w:bCs/>
          <w:color w:val="auto"/>
          <w:kern w:val="36"/>
          <w:sz w:val="32"/>
          <w:szCs w:val="32"/>
        </w:rPr>
        <w:t> 三、收到和处理政府信息公开申请情况</w:t>
      </w:r>
    </w:p>
    <w:tbl>
      <w:tblPr>
        <w:tblStyle w:val="4"/>
        <w:tblW w:w="9748" w:type="dxa"/>
        <w:jc w:val="center"/>
        <w:tblLayout w:type="autofit"/>
        <w:tblCellMar>
          <w:top w:w="15" w:type="dxa"/>
          <w:left w:w="15" w:type="dxa"/>
          <w:bottom w:w="15" w:type="dxa"/>
          <w:right w:w="15" w:type="dxa"/>
        </w:tblCellMar>
      </w:tblPr>
      <w:tblGrid>
        <w:gridCol w:w="767"/>
        <w:gridCol w:w="943"/>
        <w:gridCol w:w="3224"/>
        <w:gridCol w:w="686"/>
        <w:gridCol w:w="686"/>
        <w:gridCol w:w="686"/>
        <w:gridCol w:w="686"/>
        <w:gridCol w:w="686"/>
        <w:gridCol w:w="695"/>
        <w:gridCol w:w="689"/>
      </w:tblGrid>
      <w:tr>
        <w:tblPrEx>
          <w:tblCellMar>
            <w:top w:w="15" w:type="dxa"/>
            <w:left w:w="15" w:type="dxa"/>
            <w:bottom w:w="15" w:type="dxa"/>
            <w:right w:w="15" w:type="dxa"/>
          </w:tblCellMar>
        </w:tblPrEx>
        <w:trPr>
          <w:jc w:val="center"/>
        </w:trPr>
        <w:tc>
          <w:tcPr>
            <w:tcW w:w="4934" w:type="dxa"/>
            <w:gridSpan w:val="3"/>
            <w:vMerge w:val="restart"/>
            <w:tcBorders>
              <w:top w:val="single" w:color="auto" w:sz="8" w:space="0"/>
              <w:left w:val="single" w:color="auto" w:sz="8" w:space="0"/>
              <w:bottom w:val="inset"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楷体" w:hAnsi="楷体" w:eastAsia="楷体" w:cs="宋体"/>
                <w:color w:val="auto"/>
                <w:kern w:val="0"/>
                <w:sz w:val="20"/>
                <w:szCs w:val="20"/>
              </w:rPr>
              <w:t>（本列数据的勾稽关系为：第一项加第二项之和，等于第三项加第四项之和）</w:t>
            </w:r>
          </w:p>
        </w:tc>
        <w:tc>
          <w:tcPr>
            <w:tcW w:w="4814" w:type="dxa"/>
            <w:gridSpan w:val="7"/>
            <w:tcBorders>
              <w:top w:val="single" w:color="auto" w:sz="8" w:space="0"/>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申请人情况</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686" w:type="dxa"/>
            <w:vMerge w:val="restart"/>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自然人</w:t>
            </w:r>
          </w:p>
        </w:tc>
        <w:tc>
          <w:tcPr>
            <w:tcW w:w="3439" w:type="dxa"/>
            <w:gridSpan w:val="5"/>
            <w:tcBorders>
              <w:top w:val="single" w:color="auto" w:sz="8" w:space="0"/>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法人或其他组织</w:t>
            </w:r>
          </w:p>
        </w:tc>
        <w:tc>
          <w:tcPr>
            <w:tcW w:w="689" w:type="dxa"/>
            <w:vMerge w:val="restart"/>
            <w:tcBorders>
              <w:top w:val="single" w:color="auto" w:sz="8" w:space="0"/>
              <w:left w:val="nil"/>
              <w:bottom w:val="inset"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总计</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single"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商业</w:t>
            </w:r>
          </w:p>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企业</w:t>
            </w:r>
          </w:p>
        </w:tc>
        <w:tc>
          <w:tcPr>
            <w:tcW w:w="686" w:type="dxa"/>
            <w:tcBorders>
              <w:top w:val="single" w:color="auto" w:sz="8" w:space="0"/>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科研</w:t>
            </w:r>
          </w:p>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机构</w:t>
            </w:r>
          </w:p>
        </w:tc>
        <w:tc>
          <w:tcPr>
            <w:tcW w:w="686" w:type="dxa"/>
            <w:tcBorders>
              <w:top w:val="single" w:color="auto" w:sz="8" w:space="0"/>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社会公益组织</w:t>
            </w:r>
          </w:p>
        </w:tc>
        <w:tc>
          <w:tcPr>
            <w:tcW w:w="686" w:type="dxa"/>
            <w:tcBorders>
              <w:top w:val="single" w:color="auto" w:sz="8" w:space="0"/>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法律服务机构</w:t>
            </w:r>
          </w:p>
        </w:tc>
        <w:tc>
          <w:tcPr>
            <w:tcW w:w="695" w:type="dxa"/>
            <w:tcBorders>
              <w:top w:val="single" w:color="auto" w:sz="8" w:space="0"/>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其他</w:t>
            </w:r>
          </w:p>
        </w:tc>
        <w:tc>
          <w:tcPr>
            <w:tcW w:w="0" w:type="auto"/>
            <w:vMerge w:val="continue"/>
            <w:tcBorders>
              <w:top w:val="single" w:color="auto" w:sz="8" w:space="0"/>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r>
      <w:tr>
        <w:tblPrEx>
          <w:tblCellMar>
            <w:top w:w="15" w:type="dxa"/>
            <w:left w:w="15" w:type="dxa"/>
            <w:bottom w:w="15" w:type="dxa"/>
            <w:right w:w="15" w:type="dxa"/>
          </w:tblCellMar>
        </w:tblPrEx>
        <w:trPr>
          <w:jc w:val="center"/>
        </w:trPr>
        <w:tc>
          <w:tcPr>
            <w:tcW w:w="4934" w:type="dxa"/>
            <w:gridSpan w:val="3"/>
            <w:tcBorders>
              <w:top w:val="nil"/>
              <w:left w:val="single" w:color="auto" w:sz="8" w:space="0"/>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一、本年新收政府信息公开申请数量</w:t>
            </w:r>
          </w:p>
        </w:tc>
        <w:tc>
          <w:tcPr>
            <w:tcW w:w="686"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Calibri" w:hAnsi="Calibri" w:eastAsia="宋体" w:cs="宋体"/>
                <w:color w:val="auto"/>
                <w:kern w:val="0"/>
                <w:sz w:val="20"/>
                <w:szCs w:val="20"/>
              </w:rPr>
              <w:t>0</w:t>
            </w:r>
          </w:p>
        </w:tc>
        <w:tc>
          <w:tcPr>
            <w:tcW w:w="686"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6"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6"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95"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9"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w:t>
            </w:r>
            <w:r>
              <w:rPr>
                <w:rFonts w:hint="eastAsia" w:ascii="Calibri" w:hAnsi="Calibri" w:eastAsia="宋体" w:cs="宋体"/>
                <w:color w:val="auto"/>
                <w:kern w:val="0"/>
                <w:sz w:val="20"/>
                <w:szCs w:val="20"/>
              </w:rPr>
              <w:t>0</w:t>
            </w:r>
          </w:p>
        </w:tc>
      </w:tr>
      <w:tr>
        <w:tblPrEx>
          <w:tblCellMar>
            <w:top w:w="15" w:type="dxa"/>
            <w:left w:w="15" w:type="dxa"/>
            <w:bottom w:w="15" w:type="dxa"/>
            <w:right w:w="15" w:type="dxa"/>
          </w:tblCellMar>
        </w:tblPrEx>
        <w:trPr>
          <w:jc w:val="center"/>
        </w:trPr>
        <w:tc>
          <w:tcPr>
            <w:tcW w:w="4934" w:type="dxa"/>
            <w:gridSpan w:val="3"/>
            <w:tcBorders>
              <w:top w:val="nil"/>
              <w:left w:val="single" w:color="auto" w:sz="8" w:space="0"/>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二、上年结转政府信息公开申请数量</w:t>
            </w:r>
          </w:p>
        </w:tc>
        <w:tc>
          <w:tcPr>
            <w:tcW w:w="686"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6"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6"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95"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9"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r>
      <w:tr>
        <w:tblPrEx>
          <w:tblCellMar>
            <w:top w:w="15" w:type="dxa"/>
            <w:left w:w="15" w:type="dxa"/>
            <w:bottom w:w="15" w:type="dxa"/>
            <w:right w:w="15" w:type="dxa"/>
          </w:tblCellMar>
        </w:tblPrEx>
        <w:trPr>
          <w:jc w:val="center"/>
        </w:trPr>
        <w:tc>
          <w:tcPr>
            <w:tcW w:w="767" w:type="dxa"/>
            <w:vMerge w:val="restart"/>
            <w:tcBorders>
              <w:top w:val="nil"/>
              <w:left w:val="single" w:color="auto" w:sz="8" w:space="0"/>
              <w:bottom w:val="inset"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三、本年度办理结果</w:t>
            </w:r>
          </w:p>
        </w:tc>
        <w:tc>
          <w:tcPr>
            <w:tcW w:w="4167" w:type="dxa"/>
            <w:gridSpan w:val="2"/>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（一）予以公开</w:t>
            </w:r>
          </w:p>
        </w:tc>
        <w:tc>
          <w:tcPr>
            <w:tcW w:w="686"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Calibri" w:hAnsi="Calibri" w:eastAsia="宋体" w:cs="宋体"/>
                <w:color w:val="auto"/>
                <w:kern w:val="0"/>
                <w:sz w:val="20"/>
                <w:szCs w:val="20"/>
              </w:rPr>
              <w:t>0</w:t>
            </w:r>
          </w:p>
        </w:tc>
        <w:tc>
          <w:tcPr>
            <w:tcW w:w="686"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6"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95"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9"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Calibri" w:hAnsi="Calibri" w:eastAsia="宋体" w:cs="宋体"/>
                <w:color w:val="auto"/>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4167" w:type="dxa"/>
            <w:gridSpan w:val="2"/>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（二）部分公开</w:t>
            </w:r>
            <w:r>
              <w:rPr>
                <w:rFonts w:hint="eastAsia" w:ascii="楷体" w:hAnsi="楷体" w:eastAsia="楷体" w:cs="宋体"/>
                <w:color w:val="auto"/>
                <w:kern w:val="0"/>
                <w:sz w:val="20"/>
                <w:szCs w:val="20"/>
              </w:rPr>
              <w:t>（区分处理的，只计这一情形，不计其他情形）</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95"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9"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943" w:type="dxa"/>
            <w:vMerge w:val="restart"/>
            <w:tcBorders>
              <w:top w:val="nil"/>
              <w:left w:val="nil"/>
              <w:bottom w:val="inset"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（三）不予公开</w:t>
            </w:r>
          </w:p>
        </w:tc>
        <w:tc>
          <w:tcPr>
            <w:tcW w:w="3224"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1.属于国家秘密</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95"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9"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3224"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2.其他法律行政法规禁止公开</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95"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9"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3224"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3.危及“三安全一稳定”</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95"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9"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3224"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4.保护第三方合法权益</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95"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9"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3224"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5.属于三类内部事务信息</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95"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9"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3224"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6.属于四类过程性信息</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95"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9"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3224"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7.属于行政执法案卷</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95"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9"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3224"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8.属于行政查询事项</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95"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9"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943" w:type="dxa"/>
            <w:vMerge w:val="restart"/>
            <w:tcBorders>
              <w:top w:val="single" w:color="auto" w:sz="8" w:space="0"/>
              <w:left w:val="nil"/>
              <w:bottom w:val="inset"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（四）无法提供</w:t>
            </w:r>
          </w:p>
        </w:tc>
        <w:tc>
          <w:tcPr>
            <w:tcW w:w="3224"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1.本机关不掌握相关政府信息</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95"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9"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0" w:type="auto"/>
            <w:vMerge w:val="continue"/>
            <w:tcBorders>
              <w:top w:val="single" w:color="auto" w:sz="8" w:space="0"/>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3224"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2.没有现成信息需要另行制作</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95"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9"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0" w:type="auto"/>
            <w:vMerge w:val="continue"/>
            <w:tcBorders>
              <w:top w:val="single" w:color="auto" w:sz="8" w:space="0"/>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3224"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3.补正后申请内容仍不明确</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95"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9"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943" w:type="dxa"/>
            <w:vMerge w:val="restart"/>
            <w:tcBorders>
              <w:top w:val="single" w:color="auto" w:sz="8" w:space="0"/>
              <w:left w:val="nil"/>
              <w:bottom w:val="inset"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（五）不予处理</w:t>
            </w:r>
          </w:p>
        </w:tc>
        <w:tc>
          <w:tcPr>
            <w:tcW w:w="3224"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1.信访举报投诉类申请</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95"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9"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0" w:type="auto"/>
            <w:vMerge w:val="continue"/>
            <w:tcBorders>
              <w:top w:val="single" w:color="auto" w:sz="8" w:space="0"/>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3224"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2.重复申请</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95"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9"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0" w:type="auto"/>
            <w:vMerge w:val="continue"/>
            <w:tcBorders>
              <w:top w:val="single" w:color="auto" w:sz="8" w:space="0"/>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3224"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3.要求提供公开出版物</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95"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9"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0" w:type="auto"/>
            <w:vMerge w:val="continue"/>
            <w:tcBorders>
              <w:top w:val="single" w:color="auto" w:sz="8" w:space="0"/>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3224"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4.无正当理由大量反复申请</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95"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9"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r>
      <w:tr>
        <w:tblPrEx>
          <w:tblCellMar>
            <w:top w:w="15" w:type="dxa"/>
            <w:left w:w="15" w:type="dxa"/>
            <w:bottom w:w="15" w:type="dxa"/>
            <w:right w:w="15"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0" w:type="auto"/>
            <w:vMerge w:val="continue"/>
            <w:tcBorders>
              <w:top w:val="single" w:color="auto" w:sz="8" w:space="0"/>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3224" w:type="dxa"/>
            <w:tcBorders>
              <w:top w:val="nil"/>
              <w:left w:val="nil"/>
              <w:bottom w:val="inset"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5.要求行政机关确认或重新出具已获取信息</w:t>
            </w:r>
          </w:p>
        </w:tc>
        <w:tc>
          <w:tcPr>
            <w:tcW w:w="686" w:type="dxa"/>
            <w:tcBorders>
              <w:top w:val="nil"/>
              <w:left w:val="nil"/>
              <w:bottom w:val="inset"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inset"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inset"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inset"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inset"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95" w:type="dxa"/>
            <w:tcBorders>
              <w:top w:val="nil"/>
              <w:left w:val="nil"/>
              <w:bottom w:val="inset"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9" w:type="dxa"/>
            <w:tcBorders>
              <w:top w:val="nil"/>
              <w:left w:val="nil"/>
              <w:bottom w:val="inset"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943" w:type="dxa"/>
            <w:vMerge w:val="restart"/>
            <w:tcBorders>
              <w:top w:val="single" w:color="auto" w:sz="8" w:space="0"/>
              <w:left w:val="nil"/>
              <w:bottom w:val="inset"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（六）其他处理</w:t>
            </w:r>
          </w:p>
        </w:tc>
        <w:tc>
          <w:tcPr>
            <w:tcW w:w="3224"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1.申请人无正当理由逾期不补正、行政机关不再处理其政府信息公开申请</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95"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9"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0" w:type="auto"/>
            <w:vMerge w:val="continue"/>
            <w:tcBorders>
              <w:top w:val="single" w:color="auto" w:sz="8" w:space="0"/>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3224"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2.申请人逾期未按收费通知要求缴纳费用、行政机关不再处理其政府信息公开申请</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95"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9"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0" w:type="auto"/>
            <w:vMerge w:val="continue"/>
            <w:tcBorders>
              <w:top w:val="single" w:color="auto" w:sz="8" w:space="0"/>
              <w:left w:val="nil"/>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3224"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3.其他</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95"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9"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4167" w:type="dxa"/>
            <w:gridSpan w:val="2"/>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（七）总计</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hint="eastAsia" w:ascii="宋体" w:hAnsi="宋体" w:eastAsia="宋体" w:cs="宋体"/>
                <w:color w:val="auto"/>
                <w:kern w:val="0"/>
                <w:sz w:val="24"/>
                <w:szCs w:val="24"/>
                <w:lang w:val="en-US" w:eastAsia="zh-CN"/>
              </w:rPr>
            </w:pPr>
            <w:r>
              <w:rPr>
                <w:rFonts w:ascii="Calibri" w:hAnsi="Calibri" w:eastAsia="宋体" w:cs="宋体"/>
                <w:color w:val="auto"/>
                <w:kern w:val="0"/>
                <w:sz w:val="20"/>
                <w:szCs w:val="20"/>
              </w:rPr>
              <w:t> </w:t>
            </w:r>
            <w:r>
              <w:rPr>
                <w:rFonts w:hint="eastAsia" w:ascii="Calibri" w:hAnsi="Calibri" w:eastAsia="宋体" w:cs="宋体"/>
                <w:color w:val="auto"/>
                <w:kern w:val="0"/>
                <w:sz w:val="20"/>
                <w:szCs w:val="20"/>
                <w:lang w:val="en-US" w:eastAsia="zh-CN"/>
              </w:rPr>
              <w:t>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95"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9"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Calibri" w:hAnsi="Calibri" w:eastAsia="宋体" w:cs="宋体"/>
                <w:color w:val="auto"/>
                <w:kern w:val="0"/>
                <w:sz w:val="20"/>
                <w:szCs w:val="20"/>
              </w:rPr>
              <w:t>1</w:t>
            </w:r>
          </w:p>
        </w:tc>
      </w:tr>
      <w:tr>
        <w:tblPrEx>
          <w:tblCellMar>
            <w:top w:w="15" w:type="dxa"/>
            <w:left w:w="15" w:type="dxa"/>
            <w:bottom w:w="15" w:type="dxa"/>
            <w:right w:w="15" w:type="dxa"/>
          </w:tblCellMar>
        </w:tblPrEx>
        <w:trPr>
          <w:jc w:val="center"/>
        </w:trPr>
        <w:tc>
          <w:tcPr>
            <w:tcW w:w="4934" w:type="dxa"/>
            <w:gridSpan w:val="3"/>
            <w:tcBorders>
              <w:top w:val="nil"/>
              <w:left w:val="single" w:color="auto" w:sz="8" w:space="0"/>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四、结转下年度继续办理</w:t>
            </w:r>
          </w:p>
        </w:tc>
        <w:tc>
          <w:tcPr>
            <w:tcW w:w="686"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6"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0</w:t>
            </w:r>
          </w:p>
        </w:tc>
        <w:tc>
          <w:tcPr>
            <w:tcW w:w="686"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6"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6"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 </w:t>
            </w:r>
          </w:p>
        </w:tc>
        <w:tc>
          <w:tcPr>
            <w:tcW w:w="695"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ascii="Calibri" w:hAnsi="Calibri" w:eastAsia="宋体" w:cs="宋体"/>
                <w:color w:val="auto"/>
                <w:kern w:val="0"/>
                <w:sz w:val="20"/>
                <w:szCs w:val="20"/>
              </w:rPr>
              <w:t>0 </w:t>
            </w:r>
          </w:p>
        </w:tc>
        <w:tc>
          <w:tcPr>
            <w:tcW w:w="689" w:type="dxa"/>
            <w:tcBorders>
              <w:top w:val="nil"/>
              <w:left w:val="nil"/>
              <w:bottom w:val="single" w:color="auto" w:sz="8" w:space="0"/>
              <w:right w:val="single" w:color="auto" w:sz="8" w:space="0"/>
            </w:tcBorders>
            <w:shd w:val="clear" w:color="auto" w:fill="F8F8F8"/>
            <w:tcMar>
              <w:top w:w="0" w:type="dxa"/>
              <w:left w:w="57" w:type="dxa"/>
              <w:bottom w:w="0" w:type="dxa"/>
              <w:right w:w="57"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0</w:t>
            </w:r>
          </w:p>
        </w:tc>
      </w:tr>
    </w:tbl>
    <w:p>
      <w:pPr>
        <w:widowControl/>
        <w:shd w:val="clear" w:color="auto" w:fill="FFFFFF"/>
        <w:spacing w:line="675" w:lineRule="atLeast"/>
        <w:jc w:val="left"/>
        <w:outlineLvl w:val="0"/>
        <w:rPr>
          <w:rFonts w:hint="eastAsia" w:ascii="宋体" w:hAnsi="宋体" w:eastAsia="宋体" w:cs="宋体"/>
          <w:color w:val="auto"/>
          <w:kern w:val="36"/>
          <w:sz w:val="30"/>
          <w:szCs w:val="30"/>
        </w:rPr>
      </w:pPr>
      <w:r>
        <w:rPr>
          <w:rFonts w:hint="eastAsia" w:ascii="宋体" w:hAnsi="宋体" w:eastAsia="宋体" w:cs="宋体"/>
          <w:b/>
          <w:bCs/>
          <w:color w:val="auto"/>
          <w:kern w:val="36"/>
          <w:sz w:val="32"/>
          <w:szCs w:val="32"/>
        </w:rPr>
        <w:t>四、政府信息公开行政复议、行政诉讼情况</w:t>
      </w:r>
    </w:p>
    <w:tbl>
      <w:tblPr>
        <w:tblStyle w:val="4"/>
        <w:tblW w:w="9988" w:type="dxa"/>
        <w:jc w:val="center"/>
        <w:tblLayout w:type="autofit"/>
        <w:tblCellMar>
          <w:top w:w="15" w:type="dxa"/>
          <w:left w:w="15" w:type="dxa"/>
          <w:bottom w:w="15" w:type="dxa"/>
          <w:right w:w="15" w:type="dxa"/>
        </w:tblCellMar>
      </w:tblPr>
      <w:tblGrid>
        <w:gridCol w:w="636"/>
        <w:gridCol w:w="636"/>
        <w:gridCol w:w="636"/>
        <w:gridCol w:w="637"/>
        <w:gridCol w:w="637"/>
        <w:gridCol w:w="636"/>
        <w:gridCol w:w="636"/>
        <w:gridCol w:w="637"/>
        <w:gridCol w:w="637"/>
        <w:gridCol w:w="637"/>
        <w:gridCol w:w="637"/>
        <w:gridCol w:w="637"/>
        <w:gridCol w:w="637"/>
        <w:gridCol w:w="637"/>
        <w:gridCol w:w="619"/>
        <w:gridCol w:w="456"/>
      </w:tblGrid>
      <w:tr>
        <w:trPr>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行政复议</w:t>
            </w:r>
          </w:p>
        </w:tc>
        <w:tc>
          <w:tcPr>
            <w:tcW w:w="6498" w:type="dxa"/>
            <w:gridSpan w:val="10"/>
            <w:tcBorders>
              <w:top w:val="single" w:color="auto" w:sz="8" w:space="0"/>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行政诉讼</w:t>
            </w:r>
          </w:p>
        </w:tc>
        <w:tc>
          <w:tcPr>
            <w:tcW w:w="240" w:type="dxa"/>
            <w:tcBorders>
              <w:top w:val="single" w:color="auto" w:sz="8" w:space="0"/>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 </w:t>
            </w:r>
          </w:p>
        </w:tc>
      </w:tr>
      <w:tr>
        <w:tblPrEx>
          <w:tblCellMar>
            <w:top w:w="15" w:type="dxa"/>
            <w:left w:w="15" w:type="dxa"/>
            <w:bottom w:w="15" w:type="dxa"/>
            <w:right w:w="15" w:type="dxa"/>
          </w:tblCellMar>
        </w:tblPrEx>
        <w:trPr>
          <w:jc w:val="center"/>
        </w:trPr>
        <w:tc>
          <w:tcPr>
            <w:tcW w:w="650" w:type="dxa"/>
            <w:vMerge w:val="restart"/>
            <w:tcBorders>
              <w:top w:val="nil"/>
              <w:left w:val="single" w:color="auto" w:sz="8" w:space="0"/>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结果维持</w:t>
            </w:r>
          </w:p>
        </w:tc>
        <w:tc>
          <w:tcPr>
            <w:tcW w:w="650" w:type="dxa"/>
            <w:vMerge w:val="restart"/>
            <w:tcBorders>
              <w:top w:val="nil"/>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结果</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纠正</w:t>
            </w:r>
          </w:p>
        </w:tc>
        <w:tc>
          <w:tcPr>
            <w:tcW w:w="650" w:type="dxa"/>
            <w:vMerge w:val="restart"/>
            <w:tcBorders>
              <w:top w:val="nil"/>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其他</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结果</w:t>
            </w:r>
          </w:p>
        </w:tc>
        <w:tc>
          <w:tcPr>
            <w:tcW w:w="650" w:type="dxa"/>
            <w:vMerge w:val="restart"/>
            <w:tcBorders>
              <w:top w:val="nil"/>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尚未</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审结</w:t>
            </w:r>
          </w:p>
        </w:tc>
        <w:tc>
          <w:tcPr>
            <w:tcW w:w="650" w:type="dxa"/>
            <w:vMerge w:val="restart"/>
            <w:tcBorders>
              <w:top w:val="nil"/>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总计</w:t>
            </w:r>
          </w:p>
        </w:tc>
        <w:tc>
          <w:tcPr>
            <w:tcW w:w="3248" w:type="dxa"/>
            <w:gridSpan w:val="5"/>
            <w:tcBorders>
              <w:top w:val="nil"/>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未经复议直接起诉</w:t>
            </w:r>
          </w:p>
        </w:tc>
        <w:tc>
          <w:tcPr>
            <w:tcW w:w="3250" w:type="dxa"/>
            <w:gridSpan w:val="5"/>
            <w:tcBorders>
              <w:top w:val="nil"/>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复议后起诉</w:t>
            </w:r>
          </w:p>
        </w:tc>
        <w:tc>
          <w:tcPr>
            <w:tcW w:w="240" w:type="dxa"/>
            <w:tcBorders>
              <w:top w:val="nil"/>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single"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single"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single"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single" w:color="auto" w:sz="8" w:space="0"/>
              <w:right w:val="single" w:color="auto" w:sz="8" w:space="0"/>
            </w:tcBorders>
            <w:tcMar>
              <w:top w:w="0" w:type="dxa"/>
              <w:left w:w="0" w:type="dxa"/>
              <w:bottom w:w="0" w:type="dxa"/>
              <w:right w:w="0" w:type="dxa"/>
            </w:tcMar>
            <w:vAlign w:val="center"/>
          </w:tcPr>
          <w:p>
            <w:pPr>
              <w:widowControl/>
              <w:jc w:val="left"/>
              <w:rPr>
                <w:rFonts w:ascii="宋体" w:hAnsi="宋体" w:eastAsia="宋体" w:cs="宋体"/>
                <w:color w:val="auto"/>
                <w:kern w:val="0"/>
                <w:sz w:val="24"/>
                <w:szCs w:val="24"/>
              </w:rPr>
            </w:pPr>
          </w:p>
        </w:tc>
        <w:tc>
          <w:tcPr>
            <w:tcW w:w="649" w:type="dxa"/>
            <w:tcBorders>
              <w:top w:val="nil"/>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结果</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维持</w:t>
            </w:r>
          </w:p>
        </w:tc>
        <w:tc>
          <w:tcPr>
            <w:tcW w:w="649"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结果</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纠正</w:t>
            </w:r>
          </w:p>
        </w:tc>
        <w:tc>
          <w:tcPr>
            <w:tcW w:w="650"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其他</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结果</w:t>
            </w:r>
          </w:p>
        </w:tc>
        <w:tc>
          <w:tcPr>
            <w:tcW w:w="650"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尚未</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审结</w:t>
            </w:r>
          </w:p>
        </w:tc>
        <w:tc>
          <w:tcPr>
            <w:tcW w:w="650"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总计</w:t>
            </w:r>
          </w:p>
        </w:tc>
        <w:tc>
          <w:tcPr>
            <w:tcW w:w="650"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结果</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维持</w:t>
            </w:r>
          </w:p>
        </w:tc>
        <w:tc>
          <w:tcPr>
            <w:tcW w:w="650"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结果</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纠正</w:t>
            </w:r>
          </w:p>
        </w:tc>
        <w:tc>
          <w:tcPr>
            <w:tcW w:w="650"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其他</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结果</w:t>
            </w:r>
          </w:p>
        </w:tc>
        <w:tc>
          <w:tcPr>
            <w:tcW w:w="650"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尚未</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审结</w:t>
            </w:r>
          </w:p>
        </w:tc>
        <w:tc>
          <w:tcPr>
            <w:tcW w:w="650"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总计</w:t>
            </w:r>
          </w:p>
        </w:tc>
        <w:tc>
          <w:tcPr>
            <w:tcW w:w="240" w:type="dxa"/>
            <w:tcBorders>
              <w:top w:val="nil"/>
              <w:left w:val="nil"/>
              <w:bottom w:val="single" w:color="auto" w:sz="8" w:space="0"/>
              <w:right w:val="single" w:color="auto" w:sz="8" w:space="0"/>
            </w:tcBorders>
            <w:shd w:val="clear" w:color="auto" w:fill="F8F8F8"/>
            <w:tcMar>
              <w:top w:w="0" w:type="dxa"/>
              <w:left w:w="0" w:type="dxa"/>
              <w:bottom w:w="0" w:type="dxa"/>
              <w:right w:w="0"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 </w:t>
            </w:r>
          </w:p>
        </w:tc>
      </w:tr>
      <w:tr>
        <w:tblPrEx>
          <w:tblCellMar>
            <w:top w:w="15" w:type="dxa"/>
            <w:left w:w="15" w:type="dxa"/>
            <w:bottom w:w="15" w:type="dxa"/>
            <w:right w:w="15"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 </w:t>
            </w:r>
            <w:r>
              <w:rPr>
                <w:rFonts w:hint="eastAsia" w:ascii="黑体" w:hAnsi="黑体" w:eastAsia="黑体" w:cs="宋体"/>
                <w:color w:val="auto"/>
                <w:kern w:val="0"/>
                <w:sz w:val="20"/>
                <w:szCs w:val="20"/>
              </w:rPr>
              <w:t>0</w:t>
            </w:r>
          </w:p>
        </w:tc>
        <w:tc>
          <w:tcPr>
            <w:tcW w:w="650" w:type="dxa"/>
            <w:tcBorders>
              <w:top w:val="nil"/>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 </w:t>
            </w:r>
            <w:r>
              <w:rPr>
                <w:rFonts w:hint="eastAsia" w:ascii="黑体" w:hAnsi="黑体" w:eastAsia="黑体" w:cs="宋体"/>
                <w:color w:val="auto"/>
                <w:kern w:val="0"/>
                <w:sz w:val="20"/>
                <w:szCs w:val="20"/>
              </w:rPr>
              <w:t>0</w:t>
            </w:r>
          </w:p>
        </w:tc>
        <w:tc>
          <w:tcPr>
            <w:tcW w:w="650" w:type="dxa"/>
            <w:tcBorders>
              <w:top w:val="nil"/>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 </w:t>
            </w:r>
            <w:r>
              <w:rPr>
                <w:rFonts w:hint="eastAsia" w:ascii="黑体" w:hAnsi="黑体" w:eastAsia="黑体" w:cs="宋体"/>
                <w:color w:val="auto"/>
                <w:kern w:val="0"/>
                <w:sz w:val="20"/>
                <w:szCs w:val="20"/>
              </w:rPr>
              <w:t>0</w:t>
            </w:r>
          </w:p>
        </w:tc>
        <w:tc>
          <w:tcPr>
            <w:tcW w:w="650" w:type="dxa"/>
            <w:tcBorders>
              <w:top w:val="nil"/>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 </w:t>
            </w:r>
            <w:r>
              <w:rPr>
                <w:rFonts w:hint="eastAsia" w:ascii="黑体" w:hAnsi="黑体" w:eastAsia="黑体" w:cs="宋体"/>
                <w:color w:val="auto"/>
                <w:kern w:val="0"/>
                <w:sz w:val="20"/>
                <w:szCs w:val="20"/>
              </w:rPr>
              <w:t>0</w:t>
            </w:r>
          </w:p>
        </w:tc>
        <w:tc>
          <w:tcPr>
            <w:tcW w:w="650" w:type="dxa"/>
            <w:tcBorders>
              <w:top w:val="nil"/>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 </w:t>
            </w:r>
            <w:r>
              <w:rPr>
                <w:rFonts w:hint="eastAsia" w:ascii="黑体" w:hAnsi="黑体" w:eastAsia="黑体" w:cs="宋体"/>
                <w:color w:val="auto"/>
                <w:kern w:val="0"/>
                <w:sz w:val="20"/>
                <w:szCs w:val="20"/>
              </w:rPr>
              <w:t>0</w:t>
            </w:r>
          </w:p>
        </w:tc>
        <w:tc>
          <w:tcPr>
            <w:tcW w:w="649" w:type="dxa"/>
            <w:tcBorders>
              <w:top w:val="nil"/>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 </w:t>
            </w:r>
            <w:r>
              <w:rPr>
                <w:rFonts w:hint="eastAsia" w:ascii="黑体" w:hAnsi="黑体" w:eastAsia="黑体" w:cs="宋体"/>
                <w:color w:val="auto"/>
                <w:kern w:val="0"/>
                <w:sz w:val="20"/>
                <w:szCs w:val="20"/>
              </w:rPr>
              <w:t>0</w:t>
            </w:r>
          </w:p>
        </w:tc>
        <w:tc>
          <w:tcPr>
            <w:tcW w:w="649" w:type="dxa"/>
            <w:tcBorders>
              <w:top w:val="nil"/>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 </w:t>
            </w:r>
            <w:r>
              <w:rPr>
                <w:rFonts w:hint="eastAsia" w:ascii="黑体" w:hAnsi="黑体" w:eastAsia="黑体" w:cs="宋体"/>
                <w:color w:val="auto"/>
                <w:kern w:val="0"/>
                <w:sz w:val="20"/>
                <w:szCs w:val="20"/>
              </w:rPr>
              <w:t>0</w:t>
            </w:r>
          </w:p>
        </w:tc>
        <w:tc>
          <w:tcPr>
            <w:tcW w:w="650" w:type="dxa"/>
            <w:tcBorders>
              <w:top w:val="nil"/>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 </w:t>
            </w:r>
            <w:r>
              <w:rPr>
                <w:rFonts w:hint="eastAsia" w:ascii="黑体" w:hAnsi="黑体" w:eastAsia="黑体" w:cs="宋体"/>
                <w:color w:val="auto"/>
                <w:kern w:val="0"/>
                <w:sz w:val="20"/>
                <w:szCs w:val="20"/>
              </w:rPr>
              <w:t>0</w:t>
            </w:r>
          </w:p>
        </w:tc>
        <w:tc>
          <w:tcPr>
            <w:tcW w:w="650" w:type="dxa"/>
            <w:tcBorders>
              <w:top w:val="nil"/>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 </w:t>
            </w:r>
            <w:r>
              <w:rPr>
                <w:rFonts w:hint="eastAsia" w:ascii="黑体" w:hAnsi="黑体" w:eastAsia="黑体" w:cs="宋体"/>
                <w:color w:val="auto"/>
                <w:kern w:val="0"/>
                <w:sz w:val="20"/>
                <w:szCs w:val="20"/>
              </w:rPr>
              <w:t>0</w:t>
            </w:r>
          </w:p>
        </w:tc>
        <w:tc>
          <w:tcPr>
            <w:tcW w:w="650" w:type="dxa"/>
            <w:tcBorders>
              <w:top w:val="nil"/>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 </w:t>
            </w:r>
            <w:r>
              <w:rPr>
                <w:rFonts w:hint="eastAsia" w:ascii="黑体" w:hAnsi="黑体" w:eastAsia="黑体" w:cs="宋体"/>
                <w:color w:val="auto"/>
                <w:kern w:val="0"/>
                <w:sz w:val="20"/>
                <w:szCs w:val="20"/>
              </w:rPr>
              <w:t>0</w:t>
            </w:r>
          </w:p>
        </w:tc>
        <w:tc>
          <w:tcPr>
            <w:tcW w:w="650" w:type="dxa"/>
            <w:tcBorders>
              <w:top w:val="nil"/>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 </w:t>
            </w:r>
            <w:r>
              <w:rPr>
                <w:rFonts w:hint="eastAsia" w:ascii="黑体" w:hAnsi="黑体" w:eastAsia="黑体" w:cs="宋体"/>
                <w:color w:val="auto"/>
                <w:kern w:val="0"/>
                <w:sz w:val="20"/>
                <w:szCs w:val="20"/>
              </w:rPr>
              <w:t>0</w:t>
            </w:r>
          </w:p>
        </w:tc>
        <w:tc>
          <w:tcPr>
            <w:tcW w:w="650" w:type="dxa"/>
            <w:tcBorders>
              <w:top w:val="nil"/>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 </w:t>
            </w:r>
            <w:r>
              <w:rPr>
                <w:rFonts w:hint="eastAsia" w:ascii="黑体" w:hAnsi="黑体" w:eastAsia="黑体" w:cs="宋体"/>
                <w:color w:val="auto"/>
                <w:kern w:val="0"/>
                <w:sz w:val="20"/>
                <w:szCs w:val="20"/>
              </w:rPr>
              <w:t>0</w:t>
            </w:r>
          </w:p>
        </w:tc>
        <w:tc>
          <w:tcPr>
            <w:tcW w:w="650" w:type="dxa"/>
            <w:tcBorders>
              <w:top w:val="nil"/>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 </w:t>
            </w:r>
            <w:r>
              <w:rPr>
                <w:rFonts w:hint="eastAsia" w:ascii="黑体" w:hAnsi="黑体" w:eastAsia="黑体" w:cs="宋体"/>
                <w:color w:val="auto"/>
                <w:kern w:val="0"/>
                <w:sz w:val="20"/>
                <w:szCs w:val="20"/>
              </w:rPr>
              <w:t>0</w:t>
            </w:r>
          </w:p>
        </w:tc>
        <w:tc>
          <w:tcPr>
            <w:tcW w:w="650" w:type="dxa"/>
            <w:tcBorders>
              <w:top w:val="nil"/>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 </w:t>
            </w:r>
            <w:r>
              <w:rPr>
                <w:rFonts w:hint="eastAsia" w:ascii="黑体" w:hAnsi="黑体" w:eastAsia="黑体" w:cs="宋体"/>
                <w:color w:val="auto"/>
                <w:kern w:val="0"/>
                <w:sz w:val="20"/>
                <w:szCs w:val="20"/>
              </w:rPr>
              <w:t>0</w:t>
            </w:r>
          </w:p>
        </w:tc>
        <w:tc>
          <w:tcPr>
            <w:tcW w:w="650" w:type="dxa"/>
            <w:tcBorders>
              <w:top w:val="nil"/>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0</w:t>
            </w:r>
          </w:p>
        </w:tc>
        <w:tc>
          <w:tcPr>
            <w:tcW w:w="240" w:type="dxa"/>
            <w:tcBorders>
              <w:top w:val="nil"/>
              <w:left w:val="nil"/>
              <w:bottom w:val="single" w:color="auto" w:sz="8" w:space="0"/>
              <w:right w:val="single" w:color="auto" w:sz="8" w:space="0"/>
            </w:tcBorders>
            <w:shd w:val="clear" w:color="auto" w:fill="F8F8F8"/>
            <w:tcMar>
              <w:top w:w="0" w:type="dxa"/>
              <w:left w:w="108" w:type="dxa"/>
              <w:bottom w:w="0" w:type="dxa"/>
              <w:right w:w="108" w:type="dxa"/>
            </w:tcMar>
            <w:vAlign w:val="center"/>
          </w:tcPr>
          <w:p>
            <w:pPr>
              <w:widowControl/>
              <w:wordWrap w:val="0"/>
              <w:spacing w:line="5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bl>
    <w:p>
      <w:pPr>
        <w:widowControl/>
        <w:shd w:val="clear" w:color="auto" w:fill="FFFFFF"/>
        <w:spacing w:line="675" w:lineRule="atLeast"/>
        <w:ind w:firstLine="643"/>
        <w:jc w:val="left"/>
        <w:outlineLvl w:val="0"/>
        <w:rPr>
          <w:rFonts w:hint="eastAsia" w:ascii="宋体" w:hAnsi="宋体" w:eastAsia="宋体" w:cs="宋体"/>
          <w:color w:val="auto"/>
          <w:kern w:val="36"/>
          <w:sz w:val="30"/>
          <w:szCs w:val="30"/>
        </w:rPr>
      </w:pPr>
      <w:r>
        <w:rPr>
          <w:rFonts w:hint="eastAsia" w:ascii="宋体" w:hAnsi="宋体" w:eastAsia="宋体" w:cs="宋体"/>
          <w:b/>
          <w:bCs/>
          <w:color w:val="auto"/>
          <w:kern w:val="36"/>
          <w:sz w:val="32"/>
          <w:szCs w:val="32"/>
        </w:rPr>
        <w:t>五、存在的主要问题及改进情况</w:t>
      </w:r>
    </w:p>
    <w:p>
      <w:pPr>
        <w:widowControl/>
        <w:shd w:val="clear" w:color="auto" w:fill="F8F8F8"/>
        <w:spacing w:line="560" w:lineRule="atLeast"/>
        <w:ind w:firstLine="643"/>
        <w:jc w:val="left"/>
        <w:rPr>
          <w:rFonts w:hint="eastAsia" w:ascii="宋体" w:hAnsi="宋体" w:eastAsia="宋体" w:cs="宋体"/>
          <w:color w:val="auto"/>
          <w:kern w:val="0"/>
          <w:sz w:val="24"/>
          <w:szCs w:val="24"/>
        </w:rPr>
      </w:pPr>
      <w:r>
        <w:rPr>
          <w:rFonts w:hint="eastAsia" w:ascii="仿宋_GB2312" w:hAnsi="宋体" w:eastAsia="仿宋_GB2312" w:cs="宋体"/>
          <w:color w:val="auto"/>
          <w:kern w:val="0"/>
          <w:sz w:val="32"/>
          <w:szCs w:val="32"/>
        </w:rPr>
        <w:t>存在的问题：回顾2022年的政府信息公开工作，我</w:t>
      </w:r>
      <w:r>
        <w:rPr>
          <w:rFonts w:hint="eastAsia" w:ascii="仿宋_GB2312" w:hAnsi="宋体" w:eastAsia="仿宋_GB2312" w:cs="宋体"/>
          <w:color w:val="auto"/>
          <w:kern w:val="0"/>
          <w:sz w:val="32"/>
          <w:szCs w:val="32"/>
          <w:lang w:eastAsia="zh-CN"/>
        </w:rPr>
        <w:t>社</w:t>
      </w:r>
      <w:r>
        <w:rPr>
          <w:rFonts w:hint="eastAsia" w:ascii="仿宋_GB2312" w:hAnsi="宋体" w:eastAsia="仿宋_GB2312" w:cs="宋体"/>
          <w:color w:val="auto"/>
          <w:kern w:val="0"/>
          <w:sz w:val="32"/>
          <w:szCs w:val="32"/>
        </w:rPr>
        <w:t>基本完成了既定的目标任务，但也存在诸多问题和不足，主要表现在：一是政务信息公开的内容不尽全面，更新不及时。二是政务信息公开的深度广度还不够，政策解读类信息公开较少。三是政务公开时效性不高、作品质量有待提升。</w:t>
      </w:r>
    </w:p>
    <w:p>
      <w:pPr>
        <w:widowControl/>
        <w:shd w:val="clear" w:color="auto" w:fill="FFFFFF"/>
        <w:spacing w:line="560" w:lineRule="atLeast"/>
        <w:ind w:firstLine="640"/>
        <w:jc w:val="left"/>
        <w:rPr>
          <w:rFonts w:hint="eastAsia" w:ascii="宋体" w:hAnsi="宋体" w:eastAsia="宋体" w:cs="宋体"/>
          <w:color w:val="auto"/>
          <w:kern w:val="0"/>
          <w:sz w:val="24"/>
          <w:szCs w:val="24"/>
        </w:rPr>
      </w:pPr>
      <w:r>
        <w:rPr>
          <w:rFonts w:hint="eastAsia" w:ascii="仿宋_GB2312" w:hAnsi="宋体" w:eastAsia="仿宋_GB2312" w:cs="宋体"/>
          <w:color w:val="auto"/>
          <w:kern w:val="0"/>
          <w:sz w:val="32"/>
          <w:szCs w:val="32"/>
        </w:rPr>
        <w:t>改进情况：</w:t>
      </w:r>
    </w:p>
    <w:p>
      <w:pPr>
        <w:widowControl/>
        <w:shd w:val="clear" w:color="auto" w:fill="F8F8F8"/>
        <w:spacing w:line="560" w:lineRule="atLeast"/>
        <w:ind w:firstLine="627"/>
        <w:jc w:val="left"/>
        <w:rPr>
          <w:rFonts w:hint="eastAsia" w:ascii="宋体" w:hAnsi="宋体" w:eastAsia="宋体" w:cs="宋体"/>
          <w:color w:val="auto"/>
          <w:kern w:val="0"/>
          <w:sz w:val="24"/>
          <w:szCs w:val="24"/>
        </w:rPr>
      </w:pPr>
      <w:r>
        <w:rPr>
          <w:rFonts w:hint="eastAsia" w:ascii="仿宋_GB2312" w:hAnsi="宋体" w:eastAsia="仿宋_GB2312" w:cs="宋体"/>
          <w:color w:val="auto"/>
          <w:kern w:val="0"/>
          <w:sz w:val="32"/>
          <w:szCs w:val="32"/>
        </w:rPr>
        <w:t>下一步，我</w:t>
      </w:r>
      <w:r>
        <w:rPr>
          <w:rFonts w:hint="eastAsia" w:ascii="仿宋_GB2312" w:hAnsi="宋体" w:eastAsia="仿宋_GB2312" w:cs="宋体"/>
          <w:color w:val="auto"/>
          <w:kern w:val="0"/>
          <w:sz w:val="32"/>
          <w:szCs w:val="32"/>
          <w:lang w:eastAsia="zh-CN"/>
        </w:rPr>
        <w:t>社</w:t>
      </w:r>
      <w:r>
        <w:rPr>
          <w:rFonts w:hint="eastAsia" w:ascii="仿宋_GB2312" w:hAnsi="宋体" w:eastAsia="仿宋_GB2312" w:cs="宋体"/>
          <w:color w:val="auto"/>
          <w:kern w:val="0"/>
          <w:sz w:val="32"/>
          <w:szCs w:val="32"/>
        </w:rPr>
        <w:t>将进一步夯实管理责任，强化内容保障，加大监管力度，确保网站信息实时更新。</w:t>
      </w:r>
    </w:p>
    <w:p>
      <w:pPr>
        <w:widowControl/>
        <w:shd w:val="clear" w:color="auto" w:fill="F8F8F8"/>
        <w:spacing w:line="560" w:lineRule="atLeast"/>
        <w:ind w:firstLine="627"/>
        <w:jc w:val="left"/>
        <w:rPr>
          <w:rFonts w:hint="eastAsia" w:ascii="宋体" w:hAnsi="宋体" w:eastAsia="宋体" w:cs="宋体"/>
          <w:color w:val="auto"/>
          <w:kern w:val="0"/>
          <w:sz w:val="24"/>
          <w:szCs w:val="24"/>
        </w:rPr>
      </w:pPr>
      <w:r>
        <w:rPr>
          <w:rFonts w:hint="eastAsia" w:ascii="仿宋_GB2312" w:hAnsi="宋体" w:eastAsia="仿宋_GB2312" w:cs="宋体"/>
          <w:color w:val="auto"/>
          <w:kern w:val="0"/>
          <w:sz w:val="32"/>
          <w:szCs w:val="32"/>
        </w:rPr>
        <w:t>(一)强化学习。加强对《中华人民共和国政府信息公开条例》、《凤阳县2022年度政府网站及政务新媒体目标管理考核细则》的学习，将相关指标摸准吃透，并借鉴学习其他县市网站管理方面的先进经验，提高工作水平。</w:t>
      </w:r>
    </w:p>
    <w:p>
      <w:pPr>
        <w:widowControl/>
        <w:shd w:val="clear" w:color="auto" w:fill="F8F8F8"/>
        <w:spacing w:line="560" w:lineRule="atLeast"/>
        <w:ind w:firstLine="627"/>
        <w:jc w:val="left"/>
        <w:rPr>
          <w:rFonts w:hint="eastAsia" w:ascii="宋体" w:hAnsi="宋体" w:eastAsia="宋体" w:cs="宋体"/>
          <w:color w:val="auto"/>
          <w:kern w:val="0"/>
          <w:sz w:val="24"/>
          <w:szCs w:val="24"/>
        </w:rPr>
      </w:pPr>
      <w:r>
        <w:rPr>
          <w:rFonts w:hint="eastAsia" w:ascii="仿宋_GB2312" w:hAnsi="宋体" w:eastAsia="仿宋_GB2312" w:cs="宋体"/>
          <w:color w:val="auto"/>
          <w:kern w:val="0"/>
          <w:sz w:val="32"/>
          <w:szCs w:val="32"/>
        </w:rPr>
        <w:t>(二)夯实责任。统筹政府网站及政务新媒体管理工作，严格落实政务公开相关制度，强化日常更新维护，层层压实责任。</w:t>
      </w:r>
    </w:p>
    <w:p>
      <w:pPr>
        <w:widowControl/>
        <w:shd w:val="clear" w:color="auto" w:fill="F8F8F8"/>
        <w:spacing w:line="560" w:lineRule="atLeast"/>
        <w:ind w:firstLine="627"/>
        <w:jc w:val="left"/>
        <w:rPr>
          <w:rFonts w:hint="eastAsia" w:ascii="宋体" w:hAnsi="宋体" w:eastAsia="宋体" w:cs="宋体"/>
          <w:color w:val="auto"/>
          <w:kern w:val="0"/>
          <w:sz w:val="24"/>
          <w:szCs w:val="24"/>
        </w:rPr>
      </w:pPr>
      <w:r>
        <w:rPr>
          <w:rFonts w:hint="eastAsia" w:ascii="仿宋_GB2312" w:hAnsi="宋体" w:eastAsia="仿宋_GB2312" w:cs="宋体"/>
          <w:color w:val="auto"/>
          <w:kern w:val="0"/>
          <w:sz w:val="32"/>
          <w:szCs w:val="32"/>
        </w:rPr>
        <w:t>(三)加强管理。加强自我管理，定期自查，找出问题，及时整改。对县政府每季度进行的抽查结果及反馈的问题，照单接收，立即整改，确保我</w:t>
      </w:r>
      <w:r>
        <w:rPr>
          <w:rFonts w:hint="eastAsia" w:ascii="仿宋_GB2312" w:hAnsi="宋体" w:eastAsia="仿宋_GB2312" w:cs="宋体"/>
          <w:color w:val="auto"/>
          <w:kern w:val="0"/>
          <w:sz w:val="32"/>
          <w:szCs w:val="32"/>
          <w:lang w:eastAsia="zh-CN"/>
        </w:rPr>
        <w:t>社</w:t>
      </w:r>
      <w:r>
        <w:rPr>
          <w:rFonts w:hint="eastAsia" w:ascii="仿宋_GB2312" w:hAnsi="宋体" w:eastAsia="仿宋_GB2312" w:cs="宋体"/>
          <w:color w:val="auto"/>
          <w:kern w:val="0"/>
          <w:sz w:val="32"/>
          <w:szCs w:val="32"/>
        </w:rPr>
        <w:t>政府网站健康有序发展。</w:t>
      </w:r>
    </w:p>
    <w:p>
      <w:pPr>
        <w:widowControl/>
        <w:shd w:val="clear" w:color="auto" w:fill="F8F8F8"/>
        <w:spacing w:line="560" w:lineRule="atLeast"/>
        <w:ind w:firstLine="627"/>
        <w:jc w:val="left"/>
        <w:rPr>
          <w:rFonts w:hint="eastAsia" w:ascii="宋体" w:hAnsi="宋体" w:eastAsia="宋体" w:cs="宋体"/>
          <w:color w:val="auto"/>
          <w:kern w:val="0"/>
          <w:sz w:val="24"/>
          <w:szCs w:val="24"/>
        </w:rPr>
      </w:pPr>
      <w:r>
        <w:rPr>
          <w:rFonts w:hint="eastAsia" w:ascii="仿宋_GB2312" w:hAnsi="宋体" w:eastAsia="仿宋_GB2312" w:cs="宋体"/>
          <w:color w:val="auto"/>
          <w:kern w:val="0"/>
          <w:sz w:val="32"/>
          <w:szCs w:val="32"/>
        </w:rPr>
        <w:t>(四)丰富形式。丰富政务公开形式和内容，拓宽信息公开渠道，提升信息发布的便民性，提升政务服务水平。</w:t>
      </w:r>
    </w:p>
    <w:p>
      <w:pPr>
        <w:widowControl/>
        <w:shd w:val="clear" w:color="auto" w:fill="F8F8F8"/>
        <w:spacing w:line="560" w:lineRule="atLeast"/>
        <w:ind w:firstLine="643"/>
        <w:jc w:val="left"/>
        <w:rPr>
          <w:rFonts w:hint="eastAsia" w:ascii="宋体" w:hAnsi="宋体" w:eastAsia="宋体" w:cs="宋体"/>
          <w:color w:val="auto"/>
          <w:kern w:val="0"/>
          <w:sz w:val="24"/>
          <w:szCs w:val="24"/>
        </w:rPr>
      </w:pPr>
      <w:r>
        <w:rPr>
          <w:rFonts w:hint="eastAsia" w:ascii="仿宋_GB2312" w:hAnsi="宋体" w:eastAsia="仿宋_GB2312" w:cs="宋体"/>
          <w:color w:val="auto"/>
          <w:kern w:val="0"/>
          <w:sz w:val="32"/>
          <w:szCs w:val="32"/>
        </w:rPr>
        <w:t>（五）应公开尽公开。按照“公开为原则，不公开为例外”的总体要求，涉及群众切身利益的最新政策及时公开。全面提升政务公开质量和实效，努力使公开成为自觉，让透明成为常态。</w:t>
      </w:r>
    </w:p>
    <w:p>
      <w:pPr>
        <w:widowControl/>
        <w:shd w:val="clear" w:color="auto" w:fill="F8F8F8"/>
        <w:spacing w:line="560" w:lineRule="atLeast"/>
        <w:ind w:firstLine="643"/>
        <w:jc w:val="left"/>
        <w:rPr>
          <w:rFonts w:hint="eastAsia" w:ascii="宋体" w:hAnsi="宋体" w:eastAsia="宋体" w:cs="宋体"/>
          <w:color w:val="auto"/>
          <w:kern w:val="0"/>
          <w:sz w:val="24"/>
          <w:szCs w:val="24"/>
        </w:rPr>
      </w:pPr>
      <w:r>
        <w:rPr>
          <w:rFonts w:hint="eastAsia" w:ascii="仿宋_GB2312" w:hAnsi="宋体" w:eastAsia="仿宋_GB2312" w:cs="宋体"/>
          <w:color w:val="auto"/>
          <w:kern w:val="0"/>
          <w:sz w:val="32"/>
          <w:szCs w:val="32"/>
        </w:rPr>
        <w:t>（六）加大信息公开力度。强化大局意识、服务意识，完善信息公开制度，推进政务信息公开及时、准确。</w:t>
      </w:r>
    </w:p>
    <w:p>
      <w:pPr>
        <w:widowControl/>
        <w:shd w:val="clear" w:color="auto" w:fill="FFFFFF"/>
        <w:spacing w:line="675" w:lineRule="atLeast"/>
        <w:ind w:firstLine="643"/>
        <w:jc w:val="left"/>
        <w:outlineLvl w:val="0"/>
        <w:rPr>
          <w:rFonts w:hint="eastAsia" w:ascii="宋体" w:hAnsi="宋体" w:eastAsia="宋体" w:cs="宋体"/>
          <w:color w:val="auto"/>
          <w:kern w:val="36"/>
          <w:sz w:val="30"/>
          <w:szCs w:val="30"/>
        </w:rPr>
      </w:pPr>
      <w:r>
        <w:rPr>
          <w:rFonts w:hint="eastAsia" w:ascii="宋体" w:hAnsi="宋体" w:eastAsia="宋体" w:cs="宋体"/>
          <w:b/>
          <w:bCs/>
          <w:color w:val="auto"/>
          <w:kern w:val="36"/>
          <w:sz w:val="32"/>
          <w:szCs w:val="32"/>
        </w:rPr>
        <w:t>六、其他需要报告的事项</w:t>
      </w:r>
    </w:p>
    <w:p>
      <w:pPr>
        <w:widowControl/>
        <w:shd w:val="clear" w:color="auto" w:fill="F8F8F8"/>
        <w:spacing w:line="560" w:lineRule="atLeast"/>
        <w:ind w:firstLine="643"/>
        <w:jc w:val="left"/>
        <w:rPr>
          <w:rFonts w:hint="eastAsia" w:ascii="宋体" w:hAnsi="宋体" w:eastAsia="宋体" w:cs="宋体"/>
          <w:color w:val="auto"/>
          <w:kern w:val="0"/>
          <w:sz w:val="24"/>
          <w:szCs w:val="24"/>
        </w:rPr>
      </w:pPr>
      <w:r>
        <w:rPr>
          <w:rFonts w:hint="eastAsia" w:ascii="仿宋_GB2312" w:hAnsi="宋体" w:eastAsia="仿宋_GB2312" w:cs="宋体"/>
          <w:color w:val="auto"/>
          <w:kern w:val="0"/>
          <w:sz w:val="32"/>
          <w:szCs w:val="32"/>
        </w:rPr>
        <w:t>按照《国务院办公厅关于印发&lt;政府信息公开信息处理费管理办法&gt;的通知》（国办函〔2020〕109号）规定的按件、按量收费标准，本年度没有产生信息公开处理费。</w:t>
      </w:r>
      <w:bookmarkStart w:id="0" w:name="_GoBack"/>
      <w:bookmarkEnd w:id="0"/>
    </w:p>
    <w:p>
      <w:pPr>
        <w:jc w:val="left"/>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FkZTA0ZTNjOWY0NThjZmVjZTRiMDFmODZlMzI3NDIifQ=="/>
  </w:docVars>
  <w:rsids>
    <w:rsidRoot w:val="00D13853"/>
    <w:rsid w:val="0008465C"/>
    <w:rsid w:val="00087923"/>
    <w:rsid w:val="00412711"/>
    <w:rsid w:val="00484099"/>
    <w:rsid w:val="00886DD8"/>
    <w:rsid w:val="00C8485B"/>
    <w:rsid w:val="00D13853"/>
    <w:rsid w:val="00D514A7"/>
    <w:rsid w:val="00EC63D4"/>
    <w:rsid w:val="1C3141B7"/>
    <w:rsid w:val="3AAA4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6">
    <w:name w:val="标题 1 Char"/>
    <w:basedOn w:val="5"/>
    <w:link w:val="2"/>
    <w:qFormat/>
    <w:uiPriority w:val="9"/>
    <w:rPr>
      <w:rFonts w:ascii="宋体" w:hAnsi="宋体" w:eastAsia="宋体" w:cs="宋体"/>
      <w:b/>
      <w:bCs/>
      <w:kern w:val="36"/>
      <w:sz w:val="48"/>
      <w:szCs w:val="48"/>
    </w:rPr>
  </w:style>
  <w:style w:type="paragraph" w:customStyle="1" w:styleId="7">
    <w:name w:val="p"/>
    <w:basedOn w:val="1"/>
    <w:qFormat/>
    <w:uiPriority w:val="0"/>
    <w:pPr>
      <w:widowControl/>
      <w:spacing w:before="100" w:beforeAutospacing="1" w:after="100" w:afterAutospacing="1"/>
      <w:jc w:val="left"/>
    </w:pPr>
    <w:rPr>
      <w:kern w:val="0"/>
      <w:sz w:val="24"/>
      <w:lang w:val="en-US" w:eastAsia="zh-CN" w:bidi="ar"/>
    </w:rPr>
  </w:style>
  <w:style w:type="paragraph" w:customStyle="1" w:styleId="8">
    <w:name w:val="16"/>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2927</Words>
  <Characters>3069</Characters>
  <Lines>24</Lines>
  <Paragraphs>6</Paragraphs>
  <TotalTime>8</TotalTime>
  <ScaleCrop>false</ScaleCrop>
  <LinksUpToDate>false</LinksUpToDate>
  <CharactersWithSpaces>3258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2023-01-28T01:26:00Z</dcterms:created>
  <dc:creator>单小川</dc:creator>
  <cp:lastModifiedBy>小船</cp:lastModifiedBy>
  <dcterms:modified xsi:type="dcterms:W3CDTF">2023-01-29T00:54:18Z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3E24059BD4414403966659F725196522</vt:lpwstr>
  </property>
</Properties>
</file>