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凤阳县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经济和信息化局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经济和信息化局</w:t>
      </w:r>
      <w:r>
        <w:rPr>
          <w:rFonts w:hint="eastAsia" w:ascii="仿宋_GB2312" w:hAnsi="仿宋_GB2312" w:eastAsia="仿宋_GB2312" w:cs="仿宋_GB2312"/>
          <w:sz w:val="28"/>
          <w:szCs w:val="28"/>
        </w:rPr>
        <w:t>编制。全文包括：总体情况，主动公开政府信息情况，收到和处理政府信息公开申请情况，政府信息公开行政复议行政诉讼情况，存在的主要问题及改进情况，其他需要报告的事项等6个部分。本年度报告中使用数据统计期限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年1月1日起至202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年12月31日止。本报告电子版可以从凤阳县人民政府网站信息公开板块（http://www.fengyang.gov.cn/zwgk/index.html）下载，如对本报告有疑问，请与凤阳县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经济和信息化局办公室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联系（地址：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月华路与中都大道交叉口原淮滨新区二楼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，联系电话：0550-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2551007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（一）主动公开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截至202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年12月31日，我局在网站主动公开各类信息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28"/>
          <w:szCs w:val="28"/>
        </w:rPr>
        <w:t>条，主要集中在专项工作和工作推进中。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（二）依申请公开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全年通过网络平台、信函等方式收到信息公开申请0件。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强化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政府信息管理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我局信息公开工作，由局主要领导亲自抓信息公开工作，分管领导直接负责，办公室安排专人从事政府信息公开工作，确保政府信息公开各项工作落到实处。主要做法：一是建立局网站信息公开工作“全员参与”制度，明确机关各科室主动公开信息的范围、程序、方式、时限和要求，及时更新局网站各类政府信息；二是我局建立完善政府信息公开保密审查制度，按照“谁主管、谁负责；谁公开、谁审查”的原则，由领导小组办公室对拟公开的信息按照规定程序进行保密审查，未经审查的信息不得公开。持续开展规范合法性审查，基本实现了政务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28"/>
          <w:szCs w:val="28"/>
        </w:rPr>
        <w:t>务运行合法性审查全覆盖，对以县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经济和信息化局</w:t>
      </w:r>
      <w:r>
        <w:rPr>
          <w:rFonts w:hint="eastAsia" w:ascii="仿宋_GB2312" w:hAnsi="仿宋_GB2312" w:eastAsia="仿宋_GB2312" w:cs="仿宋_GB2312"/>
          <w:sz w:val="28"/>
          <w:szCs w:val="28"/>
        </w:rPr>
        <w:t>名义印发和出台的相关文件实行了严格的合法性审查，并将合法性审查和公平性竞争审查情况统计上报，确保了重大决策部署的贯彻落实。按照要求加强了基层政务公开标准化规范化建设，推进了重点领域相关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28"/>
          <w:szCs w:val="28"/>
        </w:rPr>
        <w:t>平台建设。按照国办和省市要求，进一步优化、调整、规范完善主动公开基本目录、各专题专栏和政策解读。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28"/>
          <w:szCs w:val="28"/>
        </w:rPr>
        <w:t>监督保障。政务信息网上公开工作，牵涉到一个单位的形象和作风建设。为此，我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</w:rPr>
        <w:t>多次组织全体干部、职工积极参加政务公开业务培训，并通过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“三会一课”、</w:t>
      </w:r>
      <w:r>
        <w:rPr>
          <w:rFonts w:hint="eastAsia" w:ascii="仿宋_GB2312" w:hAnsi="仿宋_GB2312" w:eastAsia="仿宋_GB2312" w:cs="仿宋_GB2312"/>
          <w:sz w:val="28"/>
          <w:szCs w:val="28"/>
        </w:rPr>
        <w:t>专题会议等方式组织全体干部、职工学习政务公开的有关规定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，认真</w:t>
      </w:r>
      <w:r>
        <w:rPr>
          <w:rFonts w:hint="eastAsia" w:ascii="仿宋_GB2312" w:hAnsi="仿宋_GB2312" w:eastAsia="仿宋_GB2312" w:cs="仿宋_GB2312"/>
          <w:sz w:val="28"/>
          <w:szCs w:val="28"/>
        </w:rPr>
        <w:t>学习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工信部、</w:t>
      </w:r>
      <w:r>
        <w:rPr>
          <w:rFonts w:hint="eastAsia" w:ascii="仿宋_GB2312" w:hAnsi="仿宋_GB2312" w:eastAsia="仿宋_GB2312" w:cs="仿宋_GB2312"/>
          <w:sz w:val="28"/>
          <w:szCs w:val="28"/>
        </w:rPr>
        <w:t>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经信厅</w:t>
      </w:r>
      <w:r>
        <w:rPr>
          <w:rFonts w:hint="eastAsia" w:ascii="仿宋_GB2312" w:hAnsi="仿宋_GB2312" w:eastAsia="仿宋_GB2312" w:cs="仿宋_GB2312"/>
          <w:sz w:val="28"/>
          <w:szCs w:val="28"/>
        </w:rPr>
        <w:t>有关政务信息网上公开的相关做法，努力提高政务信息公开的思想认识。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与此同时，</w:t>
      </w:r>
      <w:r>
        <w:rPr>
          <w:rFonts w:hint="eastAsia" w:ascii="仿宋_GB2312" w:hAnsi="仿宋_GB2312" w:eastAsia="仿宋_GB2312" w:cs="仿宋_GB2312"/>
          <w:sz w:val="28"/>
          <w:szCs w:val="28"/>
        </w:rPr>
        <w:t>明确把此项工作作为全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</w:rPr>
        <w:t>加强作风建设的一项重要内容来抓，要求全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股</w:t>
      </w:r>
      <w:r>
        <w:rPr>
          <w:rFonts w:hint="eastAsia" w:ascii="仿宋_GB2312" w:hAnsi="仿宋_GB2312" w:eastAsia="仿宋_GB2312" w:cs="仿宋_GB2312"/>
          <w:sz w:val="28"/>
          <w:szCs w:val="28"/>
        </w:rPr>
        <w:t>室工作人员把此项工作作为一项基本工作抓紧、抓实，积极协助配合信息员，及时上报公开内容，把政务信息网上公开工作上升到全面加强机关作风建设、落实政务公开的高度上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28"/>
          <w:szCs w:val="28"/>
        </w:rPr>
        <w:t>，全面完成各项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二、主动公开政府信息情况</w:t>
      </w:r>
    </w:p>
    <w:tbl>
      <w:tblPr>
        <w:tblStyle w:val="3"/>
        <w:tblW w:w="88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80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3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130"/>
        <w:gridCol w:w="734"/>
        <w:gridCol w:w="734"/>
        <w:gridCol w:w="734"/>
        <w:gridCol w:w="734"/>
        <w:gridCol w:w="734"/>
        <w:gridCol w:w="734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6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政府信息公开行政复议、行政诉讼情况</w:t>
      </w:r>
    </w:p>
    <w:tbl>
      <w:tblPr>
        <w:tblStyle w:val="3"/>
        <w:tblpPr w:leftFromText="180" w:rightFromText="180" w:vertAnchor="text" w:horzAnchor="page" w:tblpX="1460" w:tblpY="197"/>
        <w:tblOverlap w:val="never"/>
        <w:tblW w:w="88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88"/>
        <w:gridCol w:w="588"/>
        <w:gridCol w:w="588"/>
        <w:gridCol w:w="590"/>
        <w:gridCol w:w="588"/>
        <w:gridCol w:w="588"/>
        <w:gridCol w:w="589"/>
        <w:gridCol w:w="589"/>
        <w:gridCol w:w="591"/>
        <w:gridCol w:w="590"/>
        <w:gridCol w:w="590"/>
        <w:gridCol w:w="590"/>
        <w:gridCol w:w="590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9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8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9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，我局政务公开工作虽有序有效开展，但根据日常监测以及省市县政务公开办反馈情况来看，仍然存在问题:一是发布的信息经检测仍存在错误情况,政策解读形式有待提升；二是信息依法主动公开意识有待进一步增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改进情况：一是对照我县政务公开考评要求，切实丰富公开内容，提高信息发布质量，在现有的文字和图片解读基础上增加动画解读，通过动画解读的生动性，提升观看解读的趣味性。二是深入推进基层政务公开标准化规范化建设，按照“公开是原则，不公开是例外”的要求，不断完善政务信息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BECA3"/>
    <w:multiLevelType w:val="singleLevel"/>
    <w:tmpl w:val="FFEBECA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  <w:docVar w:name="KSO_WPS_MARK_KEY" w:val="f56ac82d-5075-4985-ba1f-a46484ccef75"/>
  </w:docVars>
  <w:rsids>
    <w:rsidRoot w:val="00000000"/>
    <w:rsid w:val="1459520D"/>
    <w:rsid w:val="29A862CD"/>
    <w:rsid w:val="2A6B584B"/>
    <w:rsid w:val="2FBF61C1"/>
    <w:rsid w:val="3F2D0FAA"/>
    <w:rsid w:val="5C002C6B"/>
    <w:rsid w:val="5D2564B3"/>
    <w:rsid w:val="62803BD5"/>
    <w:rsid w:val="7601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2345</Words>
  <Characters>2451</Characters>
  <Lines>0</Lines>
  <Paragraphs>0</Paragraphs>
  <TotalTime>10</TotalTime>
  <ScaleCrop>false</ScaleCrop>
  <LinksUpToDate>false</LinksUpToDate>
  <CharactersWithSpaces>2452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孟凡星</cp:lastModifiedBy>
  <dcterms:modified xsi:type="dcterms:W3CDTF">2023-01-30T01:18:10Z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B0D741E92B36413FBAB4CA00F2248779</vt:lpwstr>
  </property>
</Properties>
</file>