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凤阳县商务局202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共和国政府信息公开条例》和《国务院办公厅政府信息与政务公开办公室关于印发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中华人民共和国政府信息公开工作年度报告格式&gt;的通知》（国办公开办函〔2021〕30号）的要求，由凤阳县商务局编制。全文包括六个部分：总体情况、主动公开政府信息情况、收到和处理政府信息公开申请情况、政府信息公开行政复议和诉讼情况、存在的主要问题及改进情况、其他需报告事项。本年度报告中使用数据统计期限为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。本报告电子版可以从凤阳县人民政府网站信息公开板块（网址：http://www.fengyang.gov.cn/zwgk/index.html）下载，如对本报告有疑问，请与凤阳县商务局联系（地址：凤阳县住建局一楼，联系电话：0550-6721527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高度重视信息公开工作，按照《中华人民共和国政府信息公开条例》的要求，深入推行政信息府公开，转变政府职能，实现管理创新，按照上级工作要求，认真组织学习并对照文件精神，积极有序稳妥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聚焦重点政务信息，按要求统一名称、统一格式、优化功能，做到机构职能、权责清单、规范性文件、应急预案等法定主动公开内容全部公开到位，全年主动公开各类政府信息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72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完善内部流转流程，使依申请公开咨询答复标准化、规范化、类型化。2022年商务局未收到申请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持续做好政府信息公开统计工作，严格按照县政府办的统一要求，明确专人负责，对外发布的信息严格执行三审制度，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做好栏目更新和问题整改工作，保证政务信息公开质量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县商务局通过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县人民政府网站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商务局政府信息公开专栏公开，强化政府门户网站作为信息公开第一平台的作用，对公开事项、栏目设置、公开时限、公开渠道进行全面规范，不断提高各项栏目建设水平，实现群众需要的政府信息“一网打尽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商务局高度重视政府信息公开工作，将其列入重要工作日程。根据人员变动和分工调整，及时调整充实政务公开领导小组，专题研究制定政务公开年度工作要点，研究解决政务公开工作中存在的突出问题和改进措施，同时将政务公开工作贯穿到各项工作之中，确保工作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tbl>
      <w:tblPr>
        <w:tblStyle w:val="3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3"/>
        <w:gridCol w:w="2434"/>
        <w:gridCol w:w="2434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tbl>
      <w:tblPr>
        <w:tblStyle w:val="3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21"/>
        <w:gridCol w:w="3258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tbl>
      <w:tblPr>
        <w:tblStyle w:val="3"/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4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今年以来，我局部分主动公开的信息内容还不够完善，部分信息的公开还不够及时。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4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改进情况：强抓队伍建设，增强责任意识，层层传导压力。将政务公开被纳入县重点工作考核内容的责任层层分解，形成齐抓共管、上下联动的合力。完善机制，注重协调，在执行制度上讲规范。继续完善本单位政府信息发布协调制度、政府信息公开保密审查制度、三审制度等系列公开制度，确定班子成员专抓，安排专人协调落实，分工明确，责任具体，确保发布政府信息的权威性、规范性、一致性和及时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  <w:docVar w:name="KSO_WPS_MARK_KEY" w:val="db167103-526e-4861-9691-bd4ce6ba6bbd"/>
  </w:docVars>
  <w:rsids>
    <w:rsidRoot w:val="4E112C14"/>
    <w:rsid w:val="02DC2156"/>
    <w:rsid w:val="4D107AAD"/>
    <w:rsid w:val="4E112C14"/>
    <w:rsid w:val="573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1995</Words>
  <Characters>2092</Characters>
  <Lines>0</Lines>
  <Paragraphs>0</Paragraphs>
  <TotalTime>1</TotalTime>
  <ScaleCrop>false</ScaleCrop>
  <LinksUpToDate>false</LinksUpToDate>
  <CharactersWithSpaces>2092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2023-01-30T02:52:00Z</dcterms:created>
  <dc:creator>胡胡胡香怡</dc:creator>
  <cp:lastModifiedBy>孟凡星</cp:lastModifiedBy>
  <dcterms:modified xsi:type="dcterms:W3CDTF">2023-07-05T01:13:15Z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C1715F9D2E7E4A3097AFAFBB863F924A_13</vt:lpwstr>
  </property>
</Properties>
</file>