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凤阳县信访局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--信访局政府信息公开年报栏目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https://www.fengyang.gov.cn/public/column/161055514?type=3&amp;action=list&amp;nav=4&amp;isNianbao=1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信访局办公室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联系（地址：凤阳县辅仁路，联系电话：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8"/>
          <w:sz w:val="30"/>
          <w:szCs w:val="30"/>
          <w:highlight w:val="none"/>
          <w:bdr w:val="none" w:color="auto" w:sz="0" w:space="0"/>
          <w:shd w:val="clear" w:color="auto" w:fill="auto"/>
        </w:rPr>
        <w:t>0550-67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8"/>
          <w:sz w:val="30"/>
          <w:szCs w:val="30"/>
          <w:highlight w:val="none"/>
          <w:bdr w:val="none" w:color="auto" w:sz="0" w:space="0"/>
          <w:shd w:val="clear" w:color="auto" w:fill="auto"/>
        </w:rPr>
        <w:t>21516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今年以来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主动及时向社会发布公共服务事项清单、财政预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决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算等各类信息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2023年全共发布政府信息44条。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未收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依申请公开信息。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严格落实政府信息公开审查制度，建立健全信息发布三级审核机制。公开的每条信息都经过信息发布员、科室负责人、分管负责人或主要负责人三级审核通过后，才在网上发布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进一步加强政务公开栏目的标准化、规范化建设，对政府信息公开平台栏目进行了优化完善，不断加强重点领域的信息公开，做到及时主动发布，实时动态更新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我单位高度重视政务公开考核工作，认真组织学习《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中华人民共和国政府信息公开条例》，定期研究部署政务公开工作。把政务公开纳入年度目标工作考核体系，主动接受各级政府和社会监督，建立清单化、闭环式整改工作机制，确保每个问题都能及时有效整改。落实社会评议制度，主动听取群众意见和建议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年我单位未出现因信息公开不到位需要进行责任追究的情况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color="auto" w:fill="auto"/>
        </w:rPr>
      </w:pPr>
      <w:r>
        <w:rPr>
          <w:rFonts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主要问题：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一是政务公开内容和质量有待继续加强。二是政策解读形式单一，解读形式不够丰富，仅公开文字解读。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改进措施：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一是立足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  <w:lang w:val="en-US" w:eastAsia="zh-CN"/>
        </w:rPr>
        <w:t>信访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工作实际，进一步丰富公开内容，加大信息公开力度，确保政府信息公开准确、及时、规范。二是加强和丰富政策解读形式。聚焦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  <w:lang w:val="en-US" w:eastAsia="zh-CN"/>
        </w:rPr>
        <w:t>信访工作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bdr w:val="none" w:color="auto" w:sz="0" w:space="0"/>
          <w:shd w:val="clear" w:color="auto" w:fill="auto"/>
        </w:rPr>
        <w:t>的新特点、新亮点、新变化，及时做好宣传解读，对涉及公众利益的、有较大影响的政策采取媒体解读、图片解读、视频解读等形式进行多方面的宣传和解读。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40D7063"/>
    <w:rsid w:val="18586850"/>
    <w:rsid w:val="19390B2E"/>
    <w:rsid w:val="1EDA12AF"/>
    <w:rsid w:val="2CC470CB"/>
    <w:rsid w:val="2F6D453E"/>
    <w:rsid w:val="39BC591B"/>
    <w:rsid w:val="46662493"/>
    <w:rsid w:val="46F06879"/>
    <w:rsid w:val="50F82FDB"/>
    <w:rsid w:val="5F56634C"/>
    <w:rsid w:val="623C4EF2"/>
    <w:rsid w:val="66700883"/>
    <w:rsid w:val="6C3031DF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43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2024-01-30T11:46:05Z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B959A04644BC4464BE33CBBAE24713DD_13</vt:lpwstr>
  </property>
</Properties>
</file>