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color w:val="auto"/>
          <w:kern w:val="0"/>
          <w:sz w:val="40"/>
          <w:szCs w:val="40"/>
          <w:highlight w:val="none"/>
          <w:shd w:val="clear" w:color="auto" w:fill="auto"/>
          <w:lang w:val="en-US" w:eastAsia="zh-CN" w:bidi="ar"/>
        </w:rPr>
      </w:pPr>
      <w:r>
        <w:rPr>
          <w:rFonts w:hint="eastAsia" w:ascii="宋体" w:hAnsi="宋体" w:eastAsia="宋体" w:cs="宋体"/>
          <w:b/>
          <w:bCs/>
          <w:color w:val="auto"/>
          <w:kern w:val="0"/>
          <w:sz w:val="40"/>
          <w:szCs w:val="40"/>
          <w:highlight w:val="none"/>
          <w:shd w:val="clear" w:color="auto" w:fill="auto"/>
          <w:lang w:val="en-US" w:eastAsia="zh-CN" w:bidi="ar"/>
        </w:rPr>
        <w:t>凤阳县</w:t>
      </w:r>
      <w:r>
        <w:rPr>
          <w:rFonts w:hint="eastAsia" w:cs="宋体"/>
          <w:b/>
          <w:bCs/>
          <w:color w:val="auto"/>
          <w:kern w:val="0"/>
          <w:sz w:val="40"/>
          <w:szCs w:val="40"/>
          <w:highlight w:val="none"/>
          <w:shd w:val="clear" w:color="auto" w:fill="auto"/>
          <w:lang w:val="en-US" w:eastAsia="zh-CN" w:bidi="ar"/>
        </w:rPr>
        <w:t>中都街道</w:t>
      </w:r>
      <w:r>
        <w:rPr>
          <w:rFonts w:hint="eastAsia" w:ascii="宋体" w:hAnsi="宋体" w:eastAsia="宋体" w:cs="宋体"/>
          <w:b/>
          <w:bCs/>
          <w:color w:val="auto"/>
          <w:kern w:val="0"/>
          <w:sz w:val="40"/>
          <w:szCs w:val="40"/>
          <w:highlight w:val="none"/>
          <w:shd w:val="clear" w:color="auto" w:fill="auto"/>
          <w:lang w:val="en-US" w:eastAsia="zh-CN" w:bidi="ar"/>
        </w:rPr>
        <w:t>202</w:t>
      </w:r>
      <w:r>
        <w:rPr>
          <w:rFonts w:hint="eastAsia" w:cs="宋体"/>
          <w:b/>
          <w:bCs/>
          <w:color w:val="auto"/>
          <w:kern w:val="0"/>
          <w:sz w:val="40"/>
          <w:szCs w:val="40"/>
          <w:highlight w:val="none"/>
          <w:shd w:val="clear" w:color="auto" w:fill="auto"/>
          <w:lang w:val="en-US" w:eastAsia="zh-CN" w:bidi="ar"/>
        </w:rPr>
        <w:t>3</w:t>
      </w:r>
      <w:r>
        <w:rPr>
          <w:rFonts w:hint="eastAsia" w:ascii="宋体" w:hAnsi="宋体" w:eastAsia="宋体" w:cs="宋体"/>
          <w:b/>
          <w:bCs/>
          <w:color w:val="auto"/>
          <w:kern w:val="0"/>
          <w:sz w:val="40"/>
          <w:szCs w:val="40"/>
          <w:highlight w:val="none"/>
          <w:shd w:val="clear" w:color="auto" w:fill="auto"/>
          <w:lang w:val="en-US" w:eastAsia="zh-CN" w:bidi="ar"/>
        </w:rPr>
        <w:t>年政府信息公开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color w:val="auto"/>
          <w:kern w:val="0"/>
          <w:sz w:val="40"/>
          <w:szCs w:val="40"/>
          <w:highlight w:val="none"/>
          <w:shd w:val="clear" w:color="auto" w:fill="auto"/>
          <w:lang w:val="en-US" w:eastAsia="zh-CN" w:bidi="ar"/>
        </w:rPr>
      </w:pPr>
      <w:r>
        <w:rPr>
          <w:rFonts w:hint="eastAsia" w:ascii="宋体" w:hAnsi="宋体" w:eastAsia="宋体" w:cs="宋体"/>
          <w:b/>
          <w:bCs/>
          <w:color w:val="auto"/>
          <w:kern w:val="0"/>
          <w:sz w:val="40"/>
          <w:szCs w:val="40"/>
          <w:highlight w:val="none"/>
          <w:shd w:val="clear" w:color="auto" w:fill="auto"/>
          <w:lang w:val="en-US" w:eastAsia="zh-CN" w:bidi="ar"/>
        </w:rPr>
        <w:t>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color w:val="auto"/>
          <w:kern w:val="0"/>
          <w:sz w:val="2"/>
          <w:szCs w:val="2"/>
          <w:highlight w:val="none"/>
          <w:shd w:val="clear" w:color="auto" w:fill="auto"/>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本报告根据新修订的《中华人民共和国政府信息公开条例》和《国务院办公厅政府信息与政务公开办公室关于工作年度报告有关事项的通知》（国办公开函〔2021〕30号）要求，综合我街道各部门统计数据而成。全文包括：2023年度政府信息公开工作总体情况、主动公开政府信息情况、收到和处理政府信息公开申请情况、因政府信息公开工作被申请行政复议和提起行政诉讼情况、政府信息公开工作中存在的主要问题及其他需要报告的事项部分组成。报告中所列数据统计期限为2023年1月1日至2023年12月31日</w:t>
      </w:r>
      <w:r>
        <w:rPr>
          <w:rFonts w:hint="eastAsia" w:ascii="仿宋" w:hAnsi="仿宋" w:eastAsia="仿宋" w:cs="仿宋"/>
          <w:color w:val="auto"/>
          <w:kern w:val="0"/>
          <w:sz w:val="32"/>
          <w:szCs w:val="32"/>
          <w:highlight w:val="none"/>
          <w:shd w:val="clear" w:color="auto" w:fill="auto"/>
          <w:lang w:val="en-US" w:eastAsia="zh-CN" w:bidi="ar"/>
        </w:rPr>
        <w:t>。</w:t>
      </w:r>
      <w:r>
        <w:rPr>
          <w:rFonts w:hint="eastAsia" w:ascii="仿宋" w:hAnsi="仿宋" w:eastAsia="仿宋" w:cs="仿宋"/>
          <w:color w:val="auto"/>
          <w:kern w:val="0"/>
          <w:sz w:val="32"/>
          <w:szCs w:val="32"/>
          <w:highlight w:val="none"/>
          <w:shd w:val="clear" w:color="auto" w:fill="auto"/>
          <w:lang w:val="en-US" w:eastAsia="zh-CN" w:bidi="ar"/>
        </w:rPr>
        <w:t>本报告的电子版可在凤阳县人民政府网站信息公开--中都街道信息公开年报栏目中下载（网址：</w:t>
      </w:r>
      <w:r>
        <w:rPr>
          <w:rFonts w:hint="eastAsia" w:ascii="仿宋" w:hAnsi="仿宋" w:eastAsia="仿宋" w:cs="仿宋"/>
          <w:i w:val="0"/>
          <w:iCs w:val="0"/>
          <w:caps w:val="0"/>
          <w:color w:val="auto"/>
          <w:spacing w:val="0"/>
          <w:kern w:val="0"/>
          <w:sz w:val="32"/>
          <w:szCs w:val="32"/>
          <w:highlight w:val="none"/>
          <w:shd w:val="clear" w:color="auto" w:fill="auto"/>
        </w:rPr>
        <w:t>https://www.fengyang.gov.cn/public/column/161057226?type=3&amp;action=list&amp;nav=4&amp;isNianbao=1</w:t>
      </w:r>
      <w:r>
        <w:rPr>
          <w:rFonts w:hint="eastAsia" w:ascii="仿宋" w:hAnsi="仿宋" w:eastAsia="仿宋" w:cs="仿宋"/>
          <w:color w:val="auto"/>
          <w:kern w:val="0"/>
          <w:sz w:val="32"/>
          <w:szCs w:val="32"/>
          <w:highlight w:val="none"/>
          <w:shd w:val="clear" w:color="auto" w:fill="auto"/>
          <w:lang w:val="en-US" w:eastAsia="zh-CN" w:bidi="ar"/>
        </w:rPr>
        <w:t>）。如对本报告有疑问，请与中都街道办事处党政办公室联系（地址：云霁街93号，电话：0550-6710280）。</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13" w:leftChars="0" w:right="0" w:firstLine="643" w:firstLineChars="0"/>
        <w:jc w:val="both"/>
        <w:textAlignment w:val="auto"/>
        <w:rPr>
          <w:rFonts w:hint="eastAsia" w:ascii="黑体" w:hAnsi="宋体" w:eastAsia="黑体" w:cs="黑体"/>
          <w:i w:val="0"/>
          <w:iCs w:val="0"/>
          <w:caps w:val="0"/>
          <w:color w:val="auto"/>
          <w:spacing w:val="0"/>
          <w:kern w:val="0"/>
          <w:sz w:val="32"/>
          <w:szCs w:val="32"/>
          <w:highlight w:val="none"/>
          <w:shd w:val="clear" w:color="auto" w:fill="auto"/>
          <w:lang w:val="en-US" w:eastAsia="zh-CN" w:bidi="ar"/>
        </w:rPr>
      </w:pPr>
      <w:r>
        <w:rPr>
          <w:rFonts w:hint="eastAsia" w:ascii="黑体" w:hAnsi="宋体" w:eastAsia="黑体" w:cs="黑体"/>
          <w:i w:val="0"/>
          <w:iCs w:val="0"/>
          <w:caps w:val="0"/>
          <w:color w:val="auto"/>
          <w:spacing w:val="0"/>
          <w:kern w:val="0"/>
          <w:sz w:val="32"/>
          <w:szCs w:val="32"/>
          <w:highlight w:val="none"/>
          <w:shd w:val="clear" w:color="auto" w:fill="auto"/>
          <w:lang w:val="en-US" w:eastAsia="zh-CN" w:bidi="ar"/>
        </w:rPr>
        <w:t>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t>(一)主动公开情况。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2023年，在县委、县政府的正确领导下，街道各部门、各居村齐心协力，政府信息公开工作推进有序，成效显著。本年度我街道通过政府信息公开平台主动公开政府信息共计498条，加强了本级政策解读，提升解读质量，优化了村务公开内容，增设14个村（社区）村务公开栏目，主要公开了村情、财务、两委成员信息等内容，推动政府信息线上线下同步公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643"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t>(二)依申请公开情况。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2023年，我街道未收到依申请公开信息。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t>(三)政府信息管理。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明确专人负责，由信息公开工作分管领导和专门人员负责政府信息公开工作；严格信息审查，明确审查程序和责任，对信息发布的审核、更新及管理加强，针对发布要求和群众需求，不断优化信息发布质量。</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3"/>
        <w:jc w:val="both"/>
        <w:textAlignment w:val="auto"/>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t>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我街道主动规范公开政府信息，及时优化调整补充，确保新栏目信息及时发布，保障政府信息公开工作;充分利用街道、村居两级政务信息公开公告栏，及时发布涉及群众切身利益的信息，畅通群众获取信息的渠道。</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spacing w:before="0" w:beforeAutospacing="0" w:after="0" w:afterAutospacing="0" w:line="560" w:lineRule="exact"/>
        <w:ind w:left="0" w:leftChars="0" w:right="0" w:firstLine="643" w:firstLineChars="0"/>
        <w:jc w:val="both"/>
        <w:textAlignment w:val="auto"/>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lang w:val="en-US" w:eastAsia="zh-CN" w:bidi="ar"/>
        </w:rPr>
        <w:t>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一是根据人事变动及时调整政务公开工作队伍。二是及时整改上报反馈政务公开测评问题，保证数量、追求质量。三是加强培训和工作考核。街道积极开展业务培训工作，对相关部门和村居工作人员进行业务指导，深化监督考核，制定考核方案，把政务公开纳入年度工作考核。四是建立社会评议制度和责任追究制度。主动接受社会评议，畅通多种渠道公开监督和反馈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jc w:val="both"/>
        <w:textAlignment w:val="auto"/>
        <w:rPr>
          <w:rFonts w:hint="eastAsia" w:ascii="黑体" w:hAnsi="宋体" w:eastAsia="黑体" w:cs="黑体"/>
          <w:i w:val="0"/>
          <w:iCs w:val="0"/>
          <w:caps w:val="0"/>
          <w:color w:val="auto"/>
          <w:spacing w:val="0"/>
          <w:kern w:val="0"/>
          <w:sz w:val="32"/>
          <w:szCs w:val="32"/>
          <w:highlight w:val="none"/>
          <w:shd w:val="clear" w:color="auto" w:fill="auto"/>
          <w:lang w:val="en-US" w:eastAsia="zh-CN" w:bidi="ar"/>
        </w:rPr>
      </w:pPr>
      <w:r>
        <w:rPr>
          <w:rFonts w:hint="eastAsia" w:ascii="黑体" w:hAnsi="宋体" w:eastAsia="黑体" w:cs="黑体"/>
          <w:i w:val="0"/>
          <w:iCs w:val="0"/>
          <w:caps w:val="0"/>
          <w:color w:val="auto"/>
          <w:spacing w:val="0"/>
          <w:kern w:val="0"/>
          <w:sz w:val="32"/>
          <w:szCs w:val="32"/>
          <w:highlight w:val="none"/>
          <w:shd w:val="clear" w:color="auto" w:fill="auto"/>
          <w:lang w:val="en-US" w:eastAsia="zh-CN" w:bidi="ar"/>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bl>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highlight w:val="none"/>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highlight w:val="none"/>
          <w:shd w:val="clear" w:color="auto" w:fill="auto"/>
        </w:rPr>
      </w:pPr>
    </w:p>
    <w:tbl>
      <w:tblPr>
        <w:tblStyle w:val="4"/>
        <w:tblW w:w="976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1074"/>
        <w:gridCol w:w="3153"/>
        <w:gridCol w:w="681"/>
        <w:gridCol w:w="681"/>
        <w:gridCol w:w="681"/>
        <w:gridCol w:w="681"/>
        <w:gridCol w:w="681"/>
        <w:gridCol w:w="681"/>
        <w:gridCol w:w="6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（本列数据的勾稽关系为：第一项加第二项之和，等于第三项加第四项之和）</w:t>
            </w:r>
          </w:p>
        </w:tc>
        <w:tc>
          <w:tcPr>
            <w:tcW w:w="476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9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68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自然人</w:t>
            </w:r>
          </w:p>
        </w:tc>
        <w:tc>
          <w:tcPr>
            <w:tcW w:w="340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法人或其他组织</w:t>
            </w:r>
          </w:p>
        </w:tc>
        <w:tc>
          <w:tcPr>
            <w:tcW w:w="682"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9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68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shd w:val="clear" w:color="auto" w:fill="auto"/>
              </w:rPr>
            </w:pP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商业</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企业</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科研</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机构</w:t>
            </w:r>
          </w:p>
        </w:tc>
        <w:tc>
          <w:tcPr>
            <w:tcW w:w="68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社会公益组织</w:t>
            </w:r>
          </w:p>
        </w:tc>
        <w:tc>
          <w:tcPr>
            <w:tcW w:w="68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法律服务机构</w:t>
            </w:r>
          </w:p>
        </w:tc>
        <w:tc>
          <w:tcPr>
            <w:tcW w:w="68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其他</w:t>
            </w:r>
          </w:p>
        </w:tc>
        <w:tc>
          <w:tcPr>
            <w:tcW w:w="682"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none"/>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9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一、本年新收政府信息公开申请数量</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9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二、上年结转政府信息公开申请数量</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三、本年度办理结果</w:t>
            </w:r>
          </w:p>
        </w:tc>
        <w:tc>
          <w:tcPr>
            <w:tcW w:w="422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（一）予以公开</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422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（二）部分公开（区分处理的，只计这一情形，不计其他情形）</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（三）不予公开</w:t>
            </w: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1.属于国家秘密</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2.其他法律行政法规禁止公开</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3.危及“三安全一稳定”</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4.保护第三方合法权益</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5.属于三类内部事务信息</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6.属于四类过程性信息</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7.属于行政执法案卷</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8.属于行政查询事项</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（四）无法提供</w:t>
            </w: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1.本机关不掌握相关政府信息</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2.没有现成信息需要另行制作</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3.补正后申请内容仍不明确</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（五）不予处理</w:t>
            </w: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1.信访举报投诉类申请</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2.重复申请</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3.要求提供公开出版物</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4.无正当理由大量反复申请</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5.要求行政机关确认或重新出具已获取信息</w:t>
            </w:r>
          </w:p>
        </w:tc>
        <w:tc>
          <w:tcPr>
            <w:tcW w:w="68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（六）其他处理</w:t>
            </w: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1.申请人无正当理由逾期不补正、行政机关不再处理其政府信息公开申请</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2.申请人逾期未按收费通知要求缴纳费用、行政机关不再处理其政府信息公开申请</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107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315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3.其他</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422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（七）总计</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9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四、结转下年度继续办理</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32"/>
          <w:szCs w:val="32"/>
          <w:highlight w:val="none"/>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32"/>
          <w:szCs w:val="32"/>
          <w:highlight w:val="none"/>
          <w:shd w:val="clear" w:color="auto" w:fill="auto"/>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其他</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尚未</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jc w:val="left"/>
              <w:textAlignment w:val="auto"/>
              <w:rPr>
                <w:rFonts w:hint="eastAsia" w:ascii="仿宋_GB2312" w:hAnsi="仿宋_GB2312" w:eastAsia="仿宋_GB2312" w:cs="仿宋_GB2312"/>
                <w:color w:val="auto"/>
                <w:sz w:val="28"/>
                <w:szCs w:val="28"/>
                <w:highlight w:val="none"/>
                <w:shd w:val="clear" w:color="auto" w:fill="auto"/>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其他</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尚未</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结果</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其他</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尚未</w:t>
            </w:r>
            <w:r>
              <w:rPr>
                <w:rFonts w:hint="eastAsia" w:ascii="仿宋_GB2312" w:hAnsi="仿宋_GB2312" w:eastAsia="仿宋_GB2312" w:cs="仿宋_GB2312"/>
                <w:color w:val="auto"/>
                <w:kern w:val="0"/>
                <w:sz w:val="28"/>
                <w:szCs w:val="28"/>
                <w:highlight w:val="none"/>
                <w:shd w:val="clear" w:color="auto" w:fill="auto"/>
                <w:lang w:val="en-US" w:eastAsia="zh-CN" w:bidi="ar"/>
              </w:rPr>
              <w:br w:type="textWrapping"/>
            </w:r>
            <w:r>
              <w:rPr>
                <w:rFonts w:hint="eastAsia" w:ascii="仿宋_GB2312" w:hAnsi="仿宋_GB2312" w:eastAsia="仿宋_GB2312" w:cs="仿宋_GB2312"/>
                <w:color w:val="auto"/>
                <w:kern w:val="0"/>
                <w:sz w:val="28"/>
                <w:szCs w:val="28"/>
                <w:highlight w:val="none"/>
                <w:shd w:val="clear" w:color="auto" w:fill="auto"/>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0"/>
                <w:sz w:val="28"/>
                <w:szCs w:val="28"/>
                <w:highlight w:val="none"/>
                <w:shd w:val="clear" w:color="auto" w:fill="auto"/>
                <w:lang w:val="en-US" w:eastAsia="zh-CN" w:bidi="ar"/>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none"/>
                <w:shd w:val="clear" w:color="auto" w:fill="auto"/>
              </w:rPr>
            </w:pPr>
            <w:r>
              <w:rPr>
                <w:rFonts w:hint="eastAsia" w:ascii="仿宋_GB2312" w:hAnsi="仿宋_GB2312" w:eastAsia="仿宋_GB2312" w:cs="仿宋_GB2312"/>
                <w:color w:val="auto"/>
                <w:kern w:val="2"/>
                <w:sz w:val="28"/>
                <w:szCs w:val="28"/>
                <w:highlight w:val="none"/>
                <w:shd w:val="clear" w:color="auto" w:fill="auto"/>
                <w:lang w:val="en-US" w:eastAsia="zh-CN" w:bidi="ar"/>
              </w:rPr>
              <w:t>0</w:t>
            </w:r>
          </w:p>
        </w:tc>
      </w:tr>
    </w:tbl>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kern w:val="2"/>
          <w:sz w:val="32"/>
          <w:szCs w:val="32"/>
          <w:highlight w:val="none"/>
          <w:shd w:val="clear" w:color="auto" w:fill="auto"/>
          <w:lang w:val="en-US" w:eastAsia="zh-CN"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 xml:space="preserve">存在问题：一是主动性不足，个别部门信息公开主动性不足，信息收集困难，部分栏目更新不及时；二是信息公开队伍仍需加强，街道和村居人员变动较快，政府信息公开负责人员经常调整，缺乏深入系统性学习，信息公开业务水平不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下一步我街道将积</w:t>
      </w:r>
      <w:bookmarkStart w:id="0" w:name="_GoBack"/>
      <w:bookmarkEnd w:id="0"/>
      <w:r>
        <w:rPr>
          <w:rFonts w:hint="eastAsia" w:ascii="仿宋" w:hAnsi="仿宋" w:eastAsia="仿宋" w:cs="仿宋"/>
          <w:color w:val="auto"/>
          <w:kern w:val="0"/>
          <w:sz w:val="32"/>
          <w:szCs w:val="32"/>
          <w:highlight w:val="none"/>
          <w:shd w:val="clear" w:color="auto" w:fill="auto"/>
          <w:lang w:val="en-US" w:eastAsia="zh-CN" w:bidi="ar"/>
        </w:rPr>
        <w:t>极按照上级工作部署，查缺补漏，全方位开展政务信息公开工作：一是完善工作机制，提升政务公开工作的时效性；二是加强信息公开队伍，加强对政务公开工作人员进行专职培训，提高责任意识，确保政务公开工作落到实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i w:val="0"/>
          <w:iCs w:val="0"/>
          <w:caps w:val="0"/>
          <w:color w:val="auto"/>
          <w:spacing w:val="0"/>
          <w:kern w:val="0"/>
          <w:sz w:val="32"/>
          <w:szCs w:val="32"/>
          <w:highlight w:val="none"/>
          <w:shd w:val="clear" w:color="auto" w:fill="auto"/>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r>
        <w:rPr>
          <w:rFonts w:hint="eastAsia" w:ascii="仿宋" w:hAnsi="仿宋" w:eastAsia="仿宋" w:cs="仿宋"/>
          <w:color w:val="auto"/>
          <w:kern w:val="0"/>
          <w:sz w:val="32"/>
          <w:szCs w:val="32"/>
          <w:highlight w:val="none"/>
          <w:shd w:val="clear" w:color="auto" w:fill="auto"/>
          <w:lang w:val="en-US" w:eastAsia="zh-CN" w:bidi="ar"/>
        </w:rPr>
        <w:t>按照《国务院办公厅关于印发〈政府信息公开信息处理费管理办法〉的通知》（国办函〔2020〕109号）规定的按件、按量收费标准，本年度没有产生信息公开处理费。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3" w:lineRule="atLeast"/>
        <w:ind w:left="0" w:right="0" w:firstLine="641"/>
        <w:jc w:val="both"/>
        <w:textAlignment w:val="auto"/>
        <w:rPr>
          <w:rFonts w:hint="eastAsia" w:ascii="仿宋" w:hAnsi="仿宋" w:eastAsia="仿宋" w:cs="仿宋"/>
          <w:color w:val="auto"/>
          <w:kern w:val="0"/>
          <w:sz w:val="32"/>
          <w:szCs w:val="32"/>
          <w:highlight w:val="none"/>
          <w:shd w:val="clear" w:color="auto" w:fill="auto"/>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AF42B"/>
    <w:multiLevelType w:val="singleLevel"/>
    <w:tmpl w:val="AE8AF42B"/>
    <w:lvl w:ilvl="0" w:tentative="0">
      <w:start w:val="4"/>
      <w:numFmt w:val="chineseCounting"/>
      <w:suff w:val="nothing"/>
      <w:lvlText w:val="（%1）"/>
      <w:lvlJc w:val="left"/>
      <w:rPr>
        <w:rFonts w:hint="eastAsia"/>
      </w:rPr>
    </w:lvl>
  </w:abstractNum>
  <w:abstractNum w:abstractNumId="1">
    <w:nsid w:val="EA598941"/>
    <w:multiLevelType w:val="singleLevel"/>
    <w:tmpl w:val="EA598941"/>
    <w:lvl w:ilvl="0" w:tentative="0">
      <w:start w:val="1"/>
      <w:numFmt w:val="chineseCounting"/>
      <w:suff w:val="nothing"/>
      <w:lvlText w:val="%1、"/>
      <w:lvlJc w:val="left"/>
      <w:pPr>
        <w:ind w:left="-13"/>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48B96EA1"/>
    <w:rsid w:val="0A7E5E75"/>
    <w:rsid w:val="21D8735B"/>
    <w:rsid w:val="38044D88"/>
    <w:rsid w:val="3A411BFA"/>
    <w:rsid w:val="48212BE3"/>
    <w:rsid w:val="48B96EA1"/>
    <w:rsid w:val="4E4540C3"/>
    <w:rsid w:val="50814090"/>
    <w:rsid w:val="5D9C316F"/>
    <w:rsid w:val="63ED2650"/>
    <w:rsid w:val="6C587793"/>
    <w:rsid w:val="6CE5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2062</Words>
  <Characters>2179</Characters>
  <Lines>0</Lines>
  <Paragraphs>0</Paragraphs>
  <TotalTime>1</TotalTime>
  <ScaleCrop>false</ScaleCrop>
  <LinksUpToDate>false</LinksUpToDate>
  <CharactersWithSpaces>2212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2023-01-20T01:18:00Z</dcterms:created>
  <dc:creator>—雪球丫</dc:creator>
  <cp:lastModifiedBy>Administrator</cp:lastModifiedBy>
  <dcterms:modified xsi:type="dcterms:W3CDTF">2024-01-30T09:02:45Z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1E907C0A6BB940B7A173A6837B9B0544_13</vt:lpwstr>
  </property>
</Properties>
</file>