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凤阳县医保局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--凤阳县政府信息公开年报栏目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（http://www.fengyang.gov.cn/zwgk/index.html）下载，如对本报告有疑问，请与凤阳县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联系（地址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：凤阳县行政服务大厅三楼，联系电话：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0550-6738687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凤阳县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医保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局认真贯彻落实政务公开工作的系列部署，坚持以公开为常态，遵循公正、公平、合法、便民的原则，加强民主监督，进一步巩固政务公开成果，规范政务公开内容，创新政务公开形式，突出政务公开重点，提高政务公开水平，增强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政务公开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2023年共发布信息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151</w:t>
      </w:r>
      <w:bookmarkStart w:id="0" w:name="_GoBack"/>
      <w:bookmarkEnd w:id="0"/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条，开设“织密基金监管网 共筑社保医保防护线”和“跨省异地就医直接结算”2个专栏，向社会主动公开本单位职能、机构设置，医疗保障工作发展规划，服务事项的依据、条件、程序，财政预算、决算信息，医疗保障政策措施及政策解读等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今年共收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全年共办理0件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凤阳县2023年政务公开工作要点的要求，及时调整县医保局政府信息公开工作领导小组，严格落实主要领导亲自抓，分管领导具体抓，业务人员具体负责，各股室共同参与的工作机制，组织学习《中华人民共和国政府信息公开条例》等文件精神，确保信息公开工作运行正常，有关内容应公开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严格落实有关规范信息公开平台的有关事项，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相关政务信息通过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县政府部门网站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val="en-US" w:eastAsia="zh-CN"/>
        </w:rPr>
        <w:t>予以发布，完善信息发布审核机制，优化政务公开各版块栏目内容，保证政务公开工作及时准确进行，增强政府信息公开的主动性、实效性和全面性。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0"/>
          <w:lang w:val="en-US" w:eastAsia="zh-CN"/>
        </w:rPr>
        <w:t>（五）监督保障。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20"/>
          <w:lang w:val="en-US" w:eastAsia="zh-CN"/>
        </w:rPr>
        <w:t>凤阳县医保局高度重视政务公开工作，严格贯彻落实各项政府信息公开制度，明确相关信息公开任务，定期做好公开情况自查自检，确保政务公开内容合法、规范、及时、有效，推动政务公开工作与单位日常运行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一是依法主动公开信息的力度需进一步加大。二是政府信息公开的政策解读不够全面规范。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改进措施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：一是聚焦政府信息公开工作重点，抓好医保高质量发展信息公开，进一步提高主动公开内容的系统性全面性，不断  提升政务公开实效。二是丰富政策解读。运用文字图片解读、漫画解读、在线访谈等方式，丰富解读形式与公开形式，提高政务公开管理水平。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通过改进多渠道开展政策解读。一是单位主要负责人解读。依托县政府网站，围绕政策背景、出台目的、制定依据、保障措施等，进行详细、深入解读。二是图文解读。提高政策易读性，确保让群众看明白。三是媒体解读。通过新闻发布会，将政策的内容、涉及范围、执行标准等事项诠释清楚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。通过多种方式不断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提高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医保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政策的传播力、影响力，提升群众获知政策便利度。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（一）政府信息公开信息处理费收费情况。依据《国务院办公厅关于印发〈政府信息公开信息处理费管理办法〉的通知》（国办函〔2020〕109号）规定的按件、按量收费标准，本年度没有产生信息公开处理费。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创新工作。一是强化组织领导，推动公开常态化。召开工作会议对工作情况进行安排部署，及时跟进、及时整改，确保政务公开工作落实。二是落实制度规定，推动公开标准化。完善政务公开工作流程，明确了职责、程序、公开方式和时限要求。三是聚焦关键领域，推动公开重点化。紧贴群众实际需求，拓宽公开渠道，增强政务公开的针对性、实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NTczZDI3NDMxMDU1MTAyNDcxZDNlMWU5MDFkNDQifQ=="/>
  </w:docVars>
  <w:rsids>
    <w:rsidRoot w:val="1EDA12AF"/>
    <w:rsid w:val="008770A5"/>
    <w:rsid w:val="05AA24F0"/>
    <w:rsid w:val="0DC02BC2"/>
    <w:rsid w:val="0E4A2710"/>
    <w:rsid w:val="140D7063"/>
    <w:rsid w:val="19390B2E"/>
    <w:rsid w:val="1EDA12AF"/>
    <w:rsid w:val="258D0B3D"/>
    <w:rsid w:val="2CC470CB"/>
    <w:rsid w:val="2F6D453E"/>
    <w:rsid w:val="39BC591B"/>
    <w:rsid w:val="46F06879"/>
    <w:rsid w:val="50F82FDB"/>
    <w:rsid w:val="5F56634C"/>
    <w:rsid w:val="623C4EF2"/>
    <w:rsid w:val="66700883"/>
    <w:rsid w:val="6C3031DF"/>
    <w:rsid w:val="6DA21BB7"/>
    <w:rsid w:val="72682D91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35</TotalTime>
  <ScaleCrop>false</ScaleCrop>
  <LinksUpToDate>false</LinksUpToDate>
  <CharactersWithSpaces>3351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张萤</cp:lastModifiedBy>
  <dcterms:modified xsi:type="dcterms:W3CDTF">2024-02-02T09:36:23Z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51B9B030473847A3B1A5C39ED3E295EB_13</vt:lpwstr>
  </property>
</Properties>
</file>