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凤阳县应急管理局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年政府信息公开工作年度报告</w:t>
      </w:r>
    </w:p>
    <w:p>
      <w:pPr>
        <w:widowControl/>
        <w:tabs>
          <w:tab w:val="left" w:pos="1788"/>
        </w:tabs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凤阳县应急管理局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凤阳县人民政府网站信息公开板块（https://www.fengyang.gov.cn/zwgk/index.html）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下载，如对本报告有疑问，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请与凤阳县应急管理局办公室联系（地址：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凤阳县府城镇中都大道中都旅游文化商业街C02-12栋1楼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，联系电话：0550-2225113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2023年，凤阳县应急管理局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坚持政务信息公开制度建设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坚持实行行政规范性文件统一公布制度，进一步提高信息公开工作的质量和效率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严格履行政府信息公开义务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根据有关规定要求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及时更新涉及我局职责范围内的信息目录。严格政府公开责任追究制度。制定了《县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应急管理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局政务公开制度》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明确了各相关负责人、各科室的责任，完善了绩效考核机制，把政务公开纳入到季度和年度考核之中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（一）主动公开情况。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紧紧围绕应急管理工作职责，突出安全生产、防灾减灾等重点领域，精准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快速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发布信息。今年以来发布部门文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3件，上级政策解读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件，按照解读七要素，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本级政策解读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2023年全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年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共发布政府信息168条。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两化领域197条。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全年共办理0件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（三）政府信息管理。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要求，全面、及时、准确、规范地公开可以公开的政府信息，坚持完善程序，健全制度，确保政务公开规范有序运行。严格执行落实信息发布审查制度和责任编辑制度，明确审查内容、程序和责任，分级审核、先审后发，做到依制度、依程序进行。目前对可公开的信息及时在政府信息公开网站予以了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（四）政府信息公开平台建设。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按照规范有序发布原则，全面加强政府门户网站信息公开专栏维护，在安全生产、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防灾减灾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等重点领域专栏，及时全面发布政府信息，保障信息发布渠道畅通、及时有效。同时利用“安全宣传月”“防灾减灾日”等活动，举办安全知识培训、讲座等，广泛开展全方位、多角度的安全生产宣传。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（五）监督保障。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一是修订完善政务公开制度，形成用制度规范行为、按制度办事、靠制度管人的机制。二是进一步完善监督保障，加强政务公开培训，不断提升公开信息员工作水平。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6" w:firstLineChars="199"/>
        <w:textAlignment w:val="auto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存在的主要问题及改进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20"/>
        <w:jc w:val="left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一是政府信息公开的方式和途径较单一，部分股室信息公开量相对较低，存在信息时效性较低、催更的现象。二是主动向社会公开信息的领域相对较狭隘，有待于进一步拓展。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改进情况：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一是继续加大政府信息公开的宣传力度，督促干部职工充分认识到政府信息公开是广泛宣传应急管理、安全生产、防灾减灾工作，提升公众安全防范意识和防灾减灾技能的重要体现，在日常业务工作中对依法应当主动公开的文件、信息等及时予以提供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。二是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是按照“谁检查、谁宣传、谁公开”的原则，督促干部职工在深入企业、深入基层开展开展执法检查等相关工作时，及时向企业员工、基层群众宣讲有关政策文件和安全知识，主动打通政府信息公开的“最后一公里”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YWViMzdjNmY2OWI1N2ZiNTFiZTk2YTE2NTk0ZmYifQ=="/>
  </w:docVars>
  <w:rsids>
    <w:rsidRoot w:val="00000000"/>
    <w:rsid w:val="1F782FA2"/>
    <w:rsid w:val="40732B1C"/>
    <w:rsid w:val="436F3084"/>
    <w:rsid w:val="615D019D"/>
    <w:rsid w:val="63987B52"/>
    <w:rsid w:val="67C0524A"/>
    <w:rsid w:val="6CB76817"/>
    <w:rsid w:val="756E3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3114</Words>
  <Characters>3223</Characters>
  <Lines>0</Lines>
  <Paragraphs>0</Paragraphs>
  <TotalTime>8</TotalTime>
  <ScaleCrop>false</ScaleCrop>
  <LinksUpToDate>false</LinksUpToDate>
  <CharactersWithSpaces>3400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2021-12-13T16:06:00Z</dcterms:created>
  <dc:creator>随&amp;缘</dc:creator>
  <cp:lastModifiedBy>闵</cp:lastModifiedBy>
  <dcterms:modified xsi:type="dcterms:W3CDTF">2024-02-04T02:51:26Z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2811ECA923E749CB93FF98CEC9EFA4B8</vt:lpwstr>
  </property>
</Properties>
</file>