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凤阳县公安局2023年度政府信息公开工作年度报告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0" w:firstLineChars="200"/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0" w:firstLineChars="200"/>
        <w:jc w:val="both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新修订的《中华人民共和国政府信息公开条例》（国务院令711号）、《国务院办公厅政府信息与政务公开办公室关于印发〈中华人民共和国政府信息公开工作年度报告格式〉的通知》(国办公开办函〔2021〕30号)、《滁州市政务公开办公室关于做好2023年度政府信息公开工作年度报告编制和发布工作的通知》(滁政务办〔2024〕1号)要求，结合有关统计数据编制。报告主要包括：总体情况、主动公开政府信息情况、收到和处理政府信息公开申请情况、因政府信息公开工作被申请行政复议和提起行政诉讼情况、政府信息公开工作中存在的主要问题及其他需要报告的事项。报告中所列数据统计期限为2023年1月1日至2023年12月31日。报告的电子版可在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凤阳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县人民政府网站（网址：https://www.fengyang.go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v.cn/zwgk/index.html）—政府信息公开—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凤阳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县公安局—公开年报下载。如对本报告有疑问，如对本报告有疑问，请与凤阳县公安局联系（地址：凤阳县中都大道中段，联系电话：0550-6518021）。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39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我局围绕政务公开工作要点，积极推进政府信息公开工作，深化警务公开，进一步增强公安执法工作透明度，以户政服务、治安管理、交通安全、为企服务及电诈防范等工作为公开重点，多角度、多层级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凤阳县公安局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工作战果成效。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通过网络平台方式收到信息公开申请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件，上年结转0件，本年共办理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件，结转下一年办理0件，行政复议0件，行政诉讼0件。处理受理的依申请公开全部按时办理,没有迟办、漏办现象,所受理申请均未收取任何费用。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一年来，我局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严格执行信息发布审批制度，扎实推进依申请公开工作，坚持“应公开,尽公开”的原则，不断开拓思路，创新形式，充分利用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凤阳公安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凤阳警方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各种平台公开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公安警务信息，有力推动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公安政务公开工作提质增效，切实保障群众知情权、表达权、监督权，不断提升了政府工作的公信力和透明度。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我局坚持把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县人民政府网政府信息公开平台作为政务公开的主阵地，强化部门公开责任，多渠道收集公开内容，不断拓展公开的公安信息种类，进一步畅通警民的对话交流，为构建和谐警民关系营造良好的舆论氛围；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2023年11月，组织民警前往杭州进行为期一周的政务业务培训，进一步提高人员素质，扩展视野，增长了见识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12月，又组织人员全程参加了全市政务信息公开培训，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及时总结交流经验做法，切实提高有关工作人员的政策把握能力和回应社会关切能力。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我局始终坚持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多层级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查制度，进一步完善和规范依申请公开受理、审查、处理、答复以及归档等各个环节的流程，畅通受理渠道，依法依规、审慎稳妥做好答复工作；建立健全部门警种间协调会商机制，进一步规范依申请工作程序，提升依申请公开服务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年在市县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多波次、多层次的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政府网站工作检测中，均未出现单项否决和栏目得分不达标情况；对县政务公开办办公室在日常的通报指出的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排版不规范、更新不及时等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问题，均能按要求如期完成整改工作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发生因政府信息公开引起被举报、投诉的行为，没有发生一起失密事件和行政复议事件。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713.72835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4"/>
        <w:gridCol w:w="686"/>
        <w:gridCol w:w="686"/>
        <w:gridCol w:w="686"/>
        <w:gridCol w:w="686"/>
        <w:gridCol w:w="686"/>
        <w:gridCol w:w="695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回顾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政务信息公开工作，无论质量还是数量、回复的时间都有显著提升，但也存在着诸多问题和不足，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主要表现在以下方面：一是信息公开内容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，时效性不强。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存在着一些问题被县政务信息公开办和“第三方”评测机构发现和指出后，予以“打补丁”“后补漏”等问题；个别警种部门上报内容迟缓，甚至多次催促后才上报，但上报的内容存在着要素不全、语病较多等问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政务微博微信公众号等新媒体作品质量有待提升。主要表现在更新不及时，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宣传创新不够，互动性不强。虽然落实专人对微信、微博等自建新媒体信息进行定期审查管理，但是在宣传工作举措和成绩时，缺乏超前谋划，同质化严重，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对先进人物和事迹的挖掘不够，未能充分反映凤阳公安工作和队伍建设、以及广大民警辅警英勇无畏和可歌可泣的典型事迹，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目前发布数量虽多，但缺乏原创性和个性化，缺乏与用户之间的有效沟通和互动。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27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2024年，我局将针对存在问题提高认识我局将进一步夯实管理责任，强化内容保障，加大监管力度，确保网站信息实时更新。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27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人员培训，将及时向县政务信息公开办汇报、对接，派员全程参加各项业务技能培训，积极参加每季度的跟班学习整改对接，通过外出学习交流，进一步提升政务公开工作人员业务水平；二是加强创新，丰富政务公开的形式和内容，充分借鉴抖音等新媒体的先进经验和模式，坚持做到以数量为要，以质量为本，内容全面具体，有看点、看头；拓宽信息公开渠道，提升信息发布的便民性，提升政务服务水平。三是及时公开立行立改。确保信息公开的时效性，做到能当日发的不过夜，当月发的不到下月。对县政府每季度进行的抽查结果及反馈的问题，照单接收，立即整改，确保我局政府网站健康有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75" w:lineRule="atLeast"/>
        <w:ind w:left="0" w:right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收取信息处理费的情况：按照《国务院办公厅关于印发&lt;政府信息公开信息处理费管理办法&gt;的通知》（国办函〔2020〕109号）规定的按件、按量收费标准，本年度没有产生信息公开处理费。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1440" w:right="1463" w:bottom="1440" w:left="1519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2AC16494"/>
    <w:rsid w:val="00344A57"/>
    <w:rsid w:val="07854E5D"/>
    <w:rsid w:val="2AC16494"/>
    <w:rsid w:val="3FB91113"/>
    <w:rsid w:val="400050DE"/>
    <w:rsid w:val="4A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2024-01-30T01:57:00Z</dcterms:created>
  <dc:creator>Lenovo</dc:creator>
  <cp:lastModifiedBy>孟凡星</cp:lastModifiedBy>
  <dcterms:modified xsi:type="dcterms:W3CDTF">2024-04-23T10:53:37Z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32A8DE12E57F4A41BD1D3FAFBD13EC91_13</vt:lpwstr>
  </property>
</Properties>
</file>