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spacing w:line="500" w:lineRule="exact"/>
        <w:ind w:right="-155" w:rightChars="-74"/>
        <w:jc w:val="center"/>
        <w:textAlignment w:val="auto"/>
        <w:rPr>
          <w:rFonts w:hint="eastAsia" w:ascii="宋体" w:hAnsi="宋体"/>
          <w:b/>
          <w:color w:val="auto"/>
          <w:sz w:val="44"/>
          <w:szCs w:val="44"/>
        </w:rPr>
      </w:pPr>
    </w:p>
    <w:p>
      <w:pPr>
        <w:keepNext w:val="0"/>
        <w:keepLines w:val="0"/>
        <w:pageBreakBefore w:val="0"/>
        <w:kinsoku/>
        <w:wordWrap/>
        <w:overflowPunct/>
        <w:topLinePunct w:val="0"/>
        <w:autoSpaceDE/>
        <w:autoSpaceDN/>
        <w:bidi w:val="0"/>
        <w:spacing w:line="500" w:lineRule="exact"/>
        <w:ind w:right="-155" w:rightChars="-74"/>
        <w:jc w:val="center"/>
        <w:textAlignment w:val="auto"/>
        <w:rPr>
          <w:rFonts w:hint="eastAsia" w:ascii="宋体" w:hAnsi="宋体"/>
          <w:b/>
          <w:color w:val="auto"/>
          <w:sz w:val="44"/>
          <w:szCs w:val="44"/>
        </w:rPr>
      </w:pPr>
      <w:r>
        <w:rPr>
          <w:rFonts w:hint="eastAsia" w:ascii="宋体" w:hAnsi="宋体"/>
          <w:b/>
          <w:color w:val="auto"/>
          <w:sz w:val="44"/>
          <w:szCs w:val="44"/>
          <w:lang w:eastAsia="zh-CN"/>
        </w:rPr>
        <w:t>楼西街南段老城河改造地块</w:t>
      </w:r>
      <w:r>
        <w:rPr>
          <w:rFonts w:hint="eastAsia" w:ascii="宋体" w:hAnsi="宋体"/>
          <w:b/>
          <w:color w:val="auto"/>
          <w:sz w:val="44"/>
          <w:szCs w:val="44"/>
        </w:rPr>
        <w:t>房屋征收</w:t>
      </w:r>
    </w:p>
    <w:p>
      <w:pPr>
        <w:keepNext w:val="0"/>
        <w:keepLines w:val="0"/>
        <w:pageBreakBefore w:val="0"/>
        <w:kinsoku/>
        <w:wordWrap/>
        <w:overflowPunct/>
        <w:topLinePunct w:val="0"/>
        <w:autoSpaceDE/>
        <w:autoSpaceDN/>
        <w:bidi w:val="0"/>
        <w:spacing w:line="500" w:lineRule="exact"/>
        <w:ind w:right="-155" w:rightChars="-74"/>
        <w:jc w:val="center"/>
        <w:textAlignment w:val="auto"/>
        <w:rPr>
          <w:rFonts w:hint="eastAsia" w:ascii="宋体" w:hAnsi="宋体"/>
          <w:b/>
          <w:color w:val="auto"/>
          <w:sz w:val="44"/>
          <w:szCs w:val="44"/>
        </w:rPr>
      </w:pPr>
      <w:r>
        <w:rPr>
          <w:rFonts w:hint="eastAsia" w:ascii="宋体" w:hAnsi="宋体"/>
          <w:b/>
          <w:color w:val="auto"/>
          <w:sz w:val="44"/>
          <w:szCs w:val="44"/>
        </w:rPr>
        <w:t>补偿安置方案</w:t>
      </w:r>
    </w:p>
    <w:p>
      <w:pPr>
        <w:keepNext w:val="0"/>
        <w:keepLines w:val="0"/>
        <w:pageBreakBefore w:val="0"/>
        <w:kinsoku/>
        <w:wordWrap/>
        <w:overflowPunct/>
        <w:topLinePunct w:val="0"/>
        <w:autoSpaceDE/>
        <w:autoSpaceDN/>
        <w:bidi w:val="0"/>
        <w:spacing w:line="500" w:lineRule="exact"/>
        <w:ind w:right="-155" w:rightChars="-74"/>
        <w:jc w:val="center"/>
        <w:textAlignment w:val="auto"/>
        <w:rPr>
          <w:rFonts w:hint="eastAsia" w:ascii="宋体" w:hAnsi="宋体"/>
          <w:b/>
          <w:color w:val="auto"/>
          <w:sz w:val="36"/>
          <w:szCs w:val="36"/>
          <w:lang w:eastAsia="zh-CN"/>
        </w:rPr>
      </w:pPr>
      <w:r>
        <w:rPr>
          <w:rFonts w:hint="eastAsia" w:ascii="宋体" w:hAnsi="宋体"/>
          <w:b/>
          <w:color w:val="auto"/>
          <w:sz w:val="36"/>
          <w:szCs w:val="36"/>
          <w:lang w:eastAsia="zh-CN"/>
        </w:rPr>
        <w:t>（征求意见稿）</w:t>
      </w:r>
    </w:p>
    <w:p>
      <w:pPr>
        <w:keepNext w:val="0"/>
        <w:keepLines w:val="0"/>
        <w:pageBreakBefore w:val="0"/>
        <w:kinsoku/>
        <w:wordWrap/>
        <w:overflowPunct/>
        <w:topLinePunct w:val="0"/>
        <w:autoSpaceDE/>
        <w:autoSpaceDN/>
        <w:bidi w:val="0"/>
        <w:spacing w:line="500" w:lineRule="exact"/>
        <w:ind w:right="-155" w:rightChars="-74"/>
        <w:jc w:val="center"/>
        <w:textAlignment w:val="auto"/>
        <w:rPr>
          <w:rFonts w:hint="eastAsia" w:ascii="宋体" w:hAnsi="宋体"/>
          <w:b/>
          <w:color w:val="auto"/>
          <w:sz w:val="36"/>
          <w:szCs w:val="36"/>
          <w:lang w:eastAsia="zh-CN"/>
        </w:rPr>
      </w:pP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根据凤阳县国民经济和社会发展规划及城市总体规划要求，</w:t>
      </w:r>
      <w:r>
        <w:rPr>
          <w:rFonts w:hint="eastAsia" w:ascii="仿宋_GB2312" w:eastAsia="仿宋_GB2312"/>
          <w:color w:val="auto"/>
          <w:sz w:val="32"/>
          <w:szCs w:val="32"/>
          <w:lang w:eastAsia="zh-CN"/>
        </w:rPr>
        <w:t>拟</w:t>
      </w:r>
      <w:r>
        <w:rPr>
          <w:rFonts w:hint="eastAsia" w:ascii="仿宋_GB2312" w:eastAsia="仿宋_GB2312"/>
          <w:color w:val="auto"/>
          <w:sz w:val="32"/>
          <w:szCs w:val="32"/>
        </w:rPr>
        <w:t>对府城镇楼西街南段老城河改造地块红线范围内国有土地上的房屋进行征收。为确保征收工作依法、有序进行，维护征收当事人的合法权益，根据</w:t>
      </w:r>
      <w:r>
        <w:rPr>
          <w:rFonts w:hint="eastAsia" w:ascii="仿宋_GB2312" w:hAnsi="Arial" w:eastAsia="仿宋_GB2312" w:cs="Arial"/>
          <w:color w:val="auto"/>
          <w:sz w:val="32"/>
          <w:szCs w:val="32"/>
          <w:shd w:val="clear" w:color="auto" w:fill="FFFFFF"/>
        </w:rPr>
        <w:t>《国有土地上房屋征收与补偿条例》</w:t>
      </w:r>
      <w:r>
        <w:rPr>
          <w:rFonts w:hint="eastAsia" w:ascii="仿宋_GB2312" w:hAnsi="Arial" w:eastAsia="仿宋_GB2312" w:cs="Arial"/>
          <w:color w:val="auto"/>
          <w:sz w:val="32"/>
          <w:szCs w:val="32"/>
          <w:shd w:val="clear" w:color="auto" w:fill="FFFFFF"/>
          <w:lang w:eastAsia="zh-CN"/>
        </w:rPr>
        <w:t>《凤阳县国有土地房屋征收与补偿办法》</w:t>
      </w:r>
      <w:r>
        <w:rPr>
          <w:rFonts w:hint="eastAsia" w:ascii="仿宋_GB2312" w:eastAsia="仿宋_GB2312"/>
          <w:color w:val="auto"/>
          <w:sz w:val="32"/>
          <w:szCs w:val="32"/>
        </w:rPr>
        <w:t>和其它相关法规政策的规定，制定本征收补偿方案。</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黑体" w:eastAsia="黑体"/>
          <w:color w:val="auto"/>
          <w:sz w:val="32"/>
          <w:szCs w:val="32"/>
        </w:rPr>
      </w:pPr>
      <w:r>
        <w:rPr>
          <w:rFonts w:hint="eastAsia" w:ascii="黑体" w:eastAsia="黑体"/>
          <w:color w:val="auto"/>
          <w:sz w:val="32"/>
          <w:szCs w:val="32"/>
        </w:rPr>
        <w:t>一、征收范围</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地块征收界限范围内土地上所有房屋、构筑物及附属物（具体四至详见征收范围红线图）。征收房屋总建筑物面积约</w:t>
      </w:r>
      <w:r>
        <w:rPr>
          <w:rFonts w:hint="eastAsia" w:ascii="仿宋_GB2312" w:hAnsi="宋体" w:eastAsia="仿宋_GB2312" w:cs="宋体"/>
          <w:color w:val="auto"/>
          <w:sz w:val="32"/>
          <w:szCs w:val="32"/>
          <w:lang w:val="en-US" w:eastAsia="zh-CN"/>
        </w:rPr>
        <w:t>3</w:t>
      </w:r>
      <w:r>
        <w:rPr>
          <w:rFonts w:hint="eastAsia" w:ascii="仿宋_GB2312" w:hAnsi="宋体" w:eastAsia="仿宋_GB2312" w:cs="宋体"/>
          <w:color w:val="auto"/>
          <w:sz w:val="32"/>
          <w:szCs w:val="32"/>
        </w:rPr>
        <w:t>万平方米、涉及户数约</w:t>
      </w:r>
      <w:r>
        <w:rPr>
          <w:rFonts w:hint="eastAsia" w:ascii="仿宋_GB2312" w:hAnsi="宋体" w:eastAsia="仿宋_GB2312" w:cs="宋体"/>
          <w:color w:val="auto"/>
          <w:sz w:val="32"/>
          <w:szCs w:val="32"/>
          <w:lang w:val="en-US" w:eastAsia="zh-CN"/>
        </w:rPr>
        <w:t>173</w:t>
      </w:r>
      <w:r>
        <w:rPr>
          <w:rFonts w:hint="eastAsia" w:ascii="仿宋_GB2312" w:hAnsi="宋体" w:eastAsia="仿宋_GB2312" w:cs="宋体"/>
          <w:color w:val="auto"/>
          <w:sz w:val="32"/>
          <w:szCs w:val="32"/>
        </w:rPr>
        <w:t>户</w:t>
      </w:r>
      <w:r>
        <w:rPr>
          <w:rFonts w:hint="eastAsia" w:ascii="仿宋_GB2312" w:hAnsi="宋体" w:eastAsia="仿宋_GB2312" w:cs="宋体"/>
          <w:color w:val="auto"/>
          <w:sz w:val="32"/>
          <w:szCs w:val="32"/>
          <w:lang w:val="en-US" w:eastAsia="zh-CN"/>
        </w:rPr>
        <w:t>600</w:t>
      </w:r>
      <w:r>
        <w:rPr>
          <w:rFonts w:hint="eastAsia" w:ascii="仿宋_GB2312" w:hAnsi="宋体" w:eastAsia="仿宋_GB2312" w:cs="宋体"/>
          <w:color w:val="auto"/>
          <w:sz w:val="32"/>
          <w:szCs w:val="32"/>
        </w:rPr>
        <w:t>人、占地约</w:t>
      </w:r>
      <w:r>
        <w:rPr>
          <w:rFonts w:hint="eastAsia" w:ascii="仿宋_GB2312" w:hAnsi="宋体" w:eastAsia="仿宋_GB2312" w:cs="宋体"/>
          <w:color w:val="auto"/>
          <w:sz w:val="32"/>
          <w:szCs w:val="32"/>
          <w:lang w:val="en-US" w:eastAsia="zh-CN"/>
        </w:rPr>
        <w:t>70</w:t>
      </w:r>
      <w:r>
        <w:rPr>
          <w:rFonts w:hint="eastAsia" w:ascii="仿宋_GB2312" w:hAnsi="宋体" w:eastAsia="仿宋_GB2312" w:cs="宋体"/>
          <w:color w:val="auto"/>
          <w:sz w:val="32"/>
          <w:szCs w:val="32"/>
        </w:rPr>
        <w:t>亩。</w:t>
      </w:r>
    </w:p>
    <w:p>
      <w:pPr>
        <w:keepNext w:val="0"/>
        <w:keepLines w:val="0"/>
        <w:pageBreakBefore w:val="0"/>
        <w:numPr>
          <w:ilvl w:val="0"/>
          <w:numId w:val="1"/>
        </w:numPr>
        <w:kinsoku/>
        <w:wordWrap/>
        <w:overflowPunct/>
        <w:topLinePunct w:val="0"/>
        <w:autoSpaceDE/>
        <w:autoSpaceDN/>
        <w:bidi w:val="0"/>
        <w:adjustRightInd w:val="0"/>
        <w:snapToGrid w:val="0"/>
        <w:spacing w:line="500" w:lineRule="exact"/>
        <w:ind w:firstLine="640" w:firstLineChars="200"/>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征收人及实施单位</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bCs/>
          <w:color w:val="auto"/>
          <w:sz w:val="32"/>
          <w:szCs w:val="32"/>
        </w:rPr>
      </w:pPr>
      <w:r>
        <w:rPr>
          <w:rFonts w:hint="eastAsia" w:ascii="仿宋_GB2312" w:eastAsia="仿宋_GB2312"/>
          <w:bCs/>
          <w:color w:val="auto"/>
          <w:sz w:val="32"/>
          <w:szCs w:val="32"/>
        </w:rPr>
        <w:t>征收人：凤阳县人民政府</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bCs/>
          <w:color w:val="auto"/>
          <w:sz w:val="32"/>
          <w:szCs w:val="32"/>
        </w:rPr>
      </w:pPr>
      <w:r>
        <w:rPr>
          <w:rFonts w:hint="eastAsia" w:ascii="仿宋_GB2312" w:eastAsia="仿宋_GB2312"/>
          <w:bCs/>
          <w:color w:val="auto"/>
          <w:sz w:val="32"/>
          <w:szCs w:val="32"/>
        </w:rPr>
        <w:t>被征收人：被征收房屋所有人</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bCs/>
          <w:color w:val="auto"/>
          <w:sz w:val="32"/>
          <w:szCs w:val="32"/>
        </w:rPr>
      </w:pPr>
      <w:r>
        <w:rPr>
          <w:rFonts w:hint="eastAsia" w:ascii="仿宋_GB2312" w:eastAsia="仿宋_GB2312"/>
          <w:bCs/>
          <w:color w:val="auto"/>
          <w:sz w:val="32"/>
          <w:szCs w:val="32"/>
        </w:rPr>
        <w:t>房屋征收实施单位：凤阳县房屋征收中心</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三、评估机构选定及评估</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（一）</w:t>
      </w:r>
      <w:r>
        <w:rPr>
          <w:rFonts w:hint="eastAsia" w:ascii="仿宋_GB2312" w:hAnsi="仿宋" w:eastAsia="仿宋_GB2312" w:cs="Tahoma"/>
          <w:bCs/>
          <w:color w:val="auto"/>
          <w:kern w:val="0"/>
          <w:sz w:val="32"/>
          <w:szCs w:val="32"/>
          <w:highlight w:val="none"/>
        </w:rPr>
        <w:t>房地产价格评估机构由被征收人协商确定</w:t>
      </w:r>
      <w:r>
        <w:rPr>
          <w:rFonts w:hint="eastAsia" w:ascii="仿宋_GB2312" w:hAnsi="仿宋" w:eastAsia="仿宋_GB2312" w:cs="Tahoma"/>
          <w:bCs/>
          <w:color w:val="auto"/>
          <w:kern w:val="0"/>
          <w:sz w:val="32"/>
          <w:szCs w:val="32"/>
        </w:rPr>
        <w:t>，协商不成的，由征求意见表中支持率超过全部被征收人总数50%以上的机构负责本次征收的评估工作；支持率均不能达到50%以上的，由房屋征收部门组织通过抽签方式确定。本次征收只选定一家评估机构。</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（二）对评估机构出具的初评报告，评估复核组进行抽查复核。</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三）对被征收房屋价值的补偿，不得低于房屋征收决定公告之日被征收房屋类似房地产的市场价格。被征收房屋的价值评估由选定的房地产价格评估机构按照房屋征收评估办法评估确定。对评估确定的被征收房屋价值有异议的，可以向房地产价格评估机构申请复核评估。对复核结果有异议的，可以向房地产价格评估专家委员会申请鉴定。</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四、征收认证</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楷体_GB2312" w:hAnsi="楷体" w:eastAsia="楷体_GB2312" w:cs="楷体"/>
          <w:color w:val="auto"/>
          <w:sz w:val="32"/>
          <w:szCs w:val="32"/>
        </w:rPr>
      </w:pPr>
      <w:r>
        <w:rPr>
          <w:rFonts w:hint="eastAsia" w:ascii="楷体_GB2312" w:hAnsi="楷体" w:eastAsia="楷体_GB2312" w:cs="楷体"/>
          <w:color w:val="auto"/>
          <w:kern w:val="0"/>
          <w:sz w:val="32"/>
          <w:szCs w:val="32"/>
        </w:rPr>
        <w:t>（一）</w:t>
      </w:r>
      <w:r>
        <w:rPr>
          <w:rFonts w:hint="eastAsia" w:ascii="楷体_GB2312" w:hAnsi="楷体" w:eastAsia="楷体_GB2312" w:cs="楷体"/>
          <w:color w:val="auto"/>
          <w:sz w:val="32"/>
          <w:szCs w:val="32"/>
        </w:rPr>
        <w:t>房屋认定</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1.被征收房屋所有人、用途和性质的确认。</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被征收房屋的权属、结构、用途及面积以不动产权证或土地使用权证、房屋所有权证等记载为依据。处理历史遗留问题，以住房和城乡建设、自然资源和规划、城管执法等有关部门认定为准。征收无证房屋，以乡镇人民政府、社区证明资料，结合</w:t>
      </w:r>
      <w:r>
        <w:rPr>
          <w:rFonts w:hint="eastAsia" w:ascii="仿宋_GB2312" w:hAnsi="仿宋" w:eastAsia="仿宋_GB2312" w:cs="Tahoma"/>
          <w:bCs/>
          <w:color w:val="auto"/>
          <w:kern w:val="0"/>
          <w:sz w:val="32"/>
          <w:szCs w:val="32"/>
          <w:lang w:eastAsia="zh-CN"/>
        </w:rPr>
        <w:t>房屋居住现状和</w:t>
      </w:r>
      <w:r>
        <w:rPr>
          <w:rFonts w:hint="eastAsia" w:ascii="仿宋_GB2312" w:hAnsi="仿宋" w:eastAsia="仿宋_GB2312" w:cs="Tahoma"/>
          <w:bCs/>
          <w:color w:val="auto"/>
          <w:kern w:val="0"/>
          <w:sz w:val="32"/>
          <w:szCs w:val="32"/>
        </w:rPr>
        <w:t>公示情况，依法确认房屋所有人，予以补偿安置。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55" w:rightChars="-74"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被征收房屋产权属机关、企事业单位的，原则上实行货币补偿。房屋产权单位负责处理好承租人的搬迁工作，在规定期限内签订征收补偿安置协议并按协议约定的时间交付拆除。若承租人是本单位职工，符合房改政策，且积极配合</w:t>
      </w:r>
      <w:r>
        <w:rPr>
          <w:rFonts w:hint="eastAsia" w:ascii="仿宋_GB2312" w:hAnsi="仿宋_GB2312" w:eastAsia="仿宋_GB2312" w:cs="仿宋_GB2312"/>
          <w:color w:val="auto"/>
          <w:sz w:val="32"/>
          <w:szCs w:val="32"/>
          <w:lang w:val="en-US" w:eastAsia="zh-CN"/>
        </w:rPr>
        <w:t>征迁</w:t>
      </w:r>
      <w:r>
        <w:rPr>
          <w:rFonts w:hint="eastAsia" w:ascii="仿宋_GB2312" w:hAnsi="仿宋_GB2312" w:eastAsia="仿宋_GB2312" w:cs="仿宋_GB2312"/>
          <w:color w:val="auto"/>
          <w:sz w:val="32"/>
          <w:szCs w:val="32"/>
        </w:rPr>
        <w:t>，先搬迁交房后，产权单位可为其模拟房改或作价转让。完善手续后，按本方案予以产权调换或货币补偿。</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155" w:rightChars="-74"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在评估结果和公有住房出售方案公示之日后30日内，不履行公有住房出售手续或不签订征收补偿安置协议的，视为放弃公有住房</w:t>
      </w:r>
      <w:r>
        <w:rPr>
          <w:rFonts w:hint="eastAsia" w:ascii="仿宋_GB2312" w:hAnsi="仿宋" w:eastAsia="仿宋_GB2312" w:cs="Tahoma"/>
          <w:bCs/>
          <w:color w:val="auto"/>
          <w:kern w:val="0"/>
          <w:sz w:val="32"/>
          <w:szCs w:val="32"/>
          <w:lang w:eastAsia="zh-CN"/>
        </w:rPr>
        <w:t>购买</w:t>
      </w:r>
      <w:r>
        <w:rPr>
          <w:rFonts w:hint="eastAsia" w:ascii="仿宋_GB2312" w:hAnsi="仿宋" w:eastAsia="仿宋_GB2312" w:cs="Tahoma"/>
          <w:bCs/>
          <w:color w:val="auto"/>
          <w:kern w:val="0"/>
          <w:sz w:val="32"/>
          <w:szCs w:val="32"/>
        </w:rPr>
        <w:t>优惠条件，直接收回予以拆除。</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单位职工在厂区等区域内自建房屋，经主管部门或原单位批准建设的按建安成本给予货币补偿，未经主管部门或原单位批准擅自建设的，按违法建设处理。</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3.征收1990年4月1日后建设、手续不全的个人私有房屋，被征收人积极配合征收，且在规定期限内签订补偿安置协议腾空交房的，征收时按下列方式处理：</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（1）凡在2006年地籍调查时已建成的房屋，按100%合法产权予以认定有效面积；</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（2）凡在2006年地籍调查后建成的房屋，被职能部门查处的，依法不予补偿，但在规定期限内签订补偿安置协议并腾空交房的，可给予每平方米200元的助拆费；未被职能部门查处的，按以下原则处理：</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_GB2312" w:eastAsia="仿宋_GB2312" w:cs="仿宋_GB2312"/>
          <w:bCs/>
          <w:color w:val="auto"/>
          <w:sz w:val="32"/>
          <w:szCs w:val="32"/>
        </w:rPr>
        <w:t>①</w:t>
      </w:r>
      <w:r>
        <w:rPr>
          <w:rFonts w:hint="eastAsia" w:ascii="仿宋_GB2312" w:hAnsi="仿宋" w:eastAsia="仿宋_GB2312" w:cs="Tahoma"/>
          <w:bCs/>
          <w:color w:val="auto"/>
          <w:kern w:val="0"/>
          <w:sz w:val="32"/>
          <w:szCs w:val="32"/>
        </w:rPr>
        <w:t>在2006年地籍调查时未建成，但在2008年2月20日县人民政府发布的《关于开展集中整治违法用地违法建设工作的通知》前已建成，虽未批准也未认定为违法建设的，被征收人在规定期限内签订补偿安置协议并腾空交房的，可按90%的合法产权予以认定有效面积。</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②凡在2008年2月20日两违调查后未经合法审批、但在2015年航拍图有标注的, 被征收人在规定期限内签订补偿安置协议并腾空交房的，可按90%的合法产权予以认定有效面积。</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宋体" w:hAnsi="宋体"/>
          <w:color w:val="auto"/>
          <w:sz w:val="32"/>
          <w:szCs w:val="32"/>
        </w:rPr>
      </w:pPr>
      <w:r>
        <w:rPr>
          <w:rFonts w:hint="eastAsia" w:ascii="仿宋_GB2312" w:hAnsi="仿宋_GB2312" w:eastAsia="仿宋_GB2312" w:cs="仿宋_GB2312"/>
          <w:bCs/>
          <w:color w:val="auto"/>
          <w:sz w:val="32"/>
          <w:szCs w:val="32"/>
        </w:rPr>
        <w:t>③</w:t>
      </w:r>
      <w:r>
        <w:rPr>
          <w:rFonts w:hint="eastAsia" w:ascii="仿宋_GB2312" w:hAnsi="仿宋" w:eastAsia="仿宋_GB2312" w:cs="Tahoma"/>
          <w:bCs/>
          <w:color w:val="auto"/>
          <w:kern w:val="0"/>
          <w:sz w:val="32"/>
          <w:szCs w:val="32"/>
        </w:rPr>
        <w:t>凡2015年航拍图未标注的,依法不予补偿，但在规定期限内签订补偿安置协议并腾空交房的，可给予每平方米200元的助拆费。</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楷体_GB2312" w:hAnsi="楷体" w:eastAsia="楷体_GB2312" w:cs="楷体"/>
          <w:color w:val="auto"/>
          <w:kern w:val="0"/>
          <w:sz w:val="32"/>
          <w:szCs w:val="32"/>
        </w:rPr>
      </w:pPr>
      <w:r>
        <w:rPr>
          <w:rFonts w:hint="eastAsia" w:ascii="楷体_GB2312" w:hAnsi="楷体" w:eastAsia="楷体_GB2312" w:cs="楷体"/>
          <w:color w:val="auto"/>
          <w:kern w:val="0"/>
          <w:sz w:val="32"/>
          <w:szCs w:val="32"/>
        </w:rPr>
        <w:t>（二）停产停业损失认定</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1.征收正在经营的办公、生产性用房，造成被征收人停产、停业的，征收机构按照县政府公布的《凤阳县人民政府关于调整凤阳县城市规划区内征收集体土地房屋、其他附属物等补偿标准和凤阳县国有土地上房屋、其他附属物等补偿标准的通知》（凤政〔2016〕31号）给予一次性经济补偿。</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2.征收个人合法产权证记载或1990年4月1日《中华人民共和国城市规划法》实施前有工商营业执照或税务登记证等合法有效证件可以证明用于商业服务业经营性用房至今仍在经营的，被征收人选择产权调换，自协议签订起至征收人交付安置房止，由评估机构按照经营面积结合该区位现行市场租用价位确定补偿标准，按月给予停产停业补偿；被征收人选择货币补偿，给予六个月停产停业补偿。</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3.1990年4月1日《中华人民共和国城市规划法》实施后，未经规划部门批准，擅自将非经营用房或《房屋所有权证》记载的原办公、生产、仓储等非商业经营用房改为商业用房并正在经营的，按原证载性质给予评估补偿。其中，一层一进面积按照商业、服务业停产停业生活补偿标准给予一次性补助：具有营业执照，按规定的营业范围连续经营至今并能提供纳税凭证的（未达起征点或享受免税政策的由税务部门出具书面证明），实际连续经营五年以上的，给予六个月的一次性补偿；连续经营三年以上不满五年的，给予五个月的一次性补偿；连续经营一年以上不满三年的，给予四个月的一次性补偿；连续经营不满一年的，给予三个月的一次性补偿。</w:t>
      </w:r>
    </w:p>
    <w:p>
      <w:pPr>
        <w:keepNext w:val="0"/>
        <w:keepLines w:val="0"/>
        <w:pageBreakBefore w:val="0"/>
        <w:numPr>
          <w:ilvl w:val="0"/>
          <w:numId w:val="2"/>
        </w:numPr>
        <w:kinsoku/>
        <w:wordWrap/>
        <w:overflowPunct/>
        <w:topLinePunct w:val="0"/>
        <w:autoSpaceDE/>
        <w:autoSpaceDN/>
        <w:bidi w:val="0"/>
        <w:spacing w:line="500" w:lineRule="exact"/>
        <w:ind w:right="-155" w:rightChars="-74" w:firstLine="640" w:firstLineChars="200"/>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补偿标准</w:t>
      </w:r>
    </w:p>
    <w:p>
      <w:pPr>
        <w:keepNext w:val="0"/>
        <w:keepLines w:val="0"/>
        <w:pageBreakBefore w:val="0"/>
        <w:widowControl/>
        <w:shd w:val="clear" w:color="auto" w:fill="FFFFFF"/>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对被征收房屋价值的补偿，参照被征收房屋</w:t>
      </w:r>
      <w:r>
        <w:rPr>
          <w:rFonts w:hint="eastAsia" w:ascii="仿宋_GB2312" w:eastAsia="仿宋_GB2312"/>
          <w:color w:val="auto"/>
          <w:sz w:val="32"/>
          <w:szCs w:val="32"/>
        </w:rPr>
        <w:t>同地段类似房地产的市场价格标准，被征收房屋价格和用于产权调换的安置房</w:t>
      </w:r>
      <w:r>
        <w:rPr>
          <w:rFonts w:hint="eastAsia" w:ascii="仿宋_GB2312" w:hAnsi="仿宋_GB2312" w:eastAsia="仿宋_GB2312" w:cs="仿宋_GB2312"/>
          <w:color w:val="auto"/>
          <w:sz w:val="32"/>
          <w:szCs w:val="32"/>
        </w:rPr>
        <w:t>价格，以房地产评估机构评估结果为准。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textAlignment w:val="auto"/>
        <w:rPr>
          <w:rFonts w:hint="eastAsia" w:ascii="仿宋_GB2312" w:hAnsi="Tahoma" w:eastAsia="仿宋_GB2312" w:cs="Tahoma"/>
          <w:bCs/>
          <w:color w:val="auto"/>
          <w:kern w:val="0"/>
          <w:sz w:val="32"/>
          <w:szCs w:val="32"/>
        </w:rPr>
      </w:pPr>
      <w:r>
        <w:rPr>
          <w:rFonts w:hint="eastAsia" w:ascii="仿宋_GB2312" w:hAnsi="Tahoma" w:eastAsia="仿宋_GB2312" w:cs="Tahoma"/>
          <w:bCs/>
          <w:color w:val="auto"/>
          <w:kern w:val="0"/>
          <w:sz w:val="32"/>
          <w:szCs w:val="32"/>
        </w:rPr>
        <w:t>被征收住宅有独立的房屋产权证或有效建房批件符合独立计户条件，征收时可给予优惠补偿安置。2006年地籍调查图和2008年2月20日县人民政府发布的《关于开展集中整治违法用地违法建设工作的通知》资料有标注的无产权证件的房屋，应当与有房屋产权证或有效建房批件的被征收住宅建筑面积合并作为单独一户；整户无房屋产权证或有效建房批件的房屋合并的，按单独一户政策执行。</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bCs/>
          <w:color w:val="auto"/>
          <w:kern w:val="0"/>
          <w:sz w:val="32"/>
          <w:szCs w:val="32"/>
        </w:rPr>
      </w:pPr>
      <w:r>
        <w:rPr>
          <w:rFonts w:hint="eastAsia" w:ascii="仿宋_GB2312" w:eastAsia="仿宋_GB2312"/>
          <w:color w:val="auto"/>
          <w:sz w:val="32"/>
          <w:szCs w:val="32"/>
        </w:rPr>
        <w:t>房屋买卖、赠与、继承、析产等行为，在房屋征收公告发布时未办理产权变更登记的(经公证或判决确认的除外），征收时不作为分别独立计户优惠条件。</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六、补偿安置与奖励</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楷体_GB2312" w:hAnsi="楷体" w:eastAsia="楷体_GB2312" w:cs="楷体"/>
          <w:bCs/>
          <w:color w:val="auto"/>
          <w:sz w:val="32"/>
          <w:szCs w:val="32"/>
        </w:rPr>
      </w:pPr>
      <w:r>
        <w:rPr>
          <w:rFonts w:hint="eastAsia" w:ascii="楷体_GB2312" w:hAnsi="楷体" w:eastAsia="楷体_GB2312" w:cs="楷体"/>
          <w:bCs/>
          <w:color w:val="auto"/>
          <w:sz w:val="32"/>
          <w:szCs w:val="32"/>
        </w:rPr>
        <w:t>（一）安置地点</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Tahoma" w:eastAsia="仿宋_GB2312" w:cs="Tahoma"/>
          <w:bCs/>
          <w:color w:val="auto"/>
          <w:kern w:val="0"/>
          <w:sz w:val="32"/>
          <w:szCs w:val="32"/>
        </w:rPr>
      </w:pPr>
      <w:r>
        <w:rPr>
          <w:rFonts w:hint="eastAsia" w:ascii="仿宋_GB2312" w:hAnsi="Tahoma" w:eastAsia="仿宋_GB2312" w:cs="Tahoma"/>
          <w:bCs/>
          <w:color w:val="auto"/>
          <w:kern w:val="0"/>
          <w:sz w:val="32"/>
          <w:szCs w:val="32"/>
        </w:rPr>
        <w:t>1.</w:t>
      </w:r>
      <w:r>
        <w:rPr>
          <w:rFonts w:hint="eastAsia" w:ascii="仿宋_GB2312" w:hAnsi="Tahoma" w:eastAsia="仿宋_GB2312" w:cs="Tahoma"/>
          <w:bCs/>
          <w:color w:val="auto"/>
          <w:kern w:val="0"/>
          <w:sz w:val="32"/>
          <w:szCs w:val="32"/>
          <w:lang w:eastAsia="zh-CN"/>
        </w:rPr>
        <w:t>万福花园</w:t>
      </w:r>
      <w:r>
        <w:rPr>
          <w:rFonts w:hint="eastAsia" w:ascii="仿宋_GB2312" w:hAnsi="Tahoma" w:eastAsia="仿宋_GB2312" w:cs="Tahoma"/>
          <w:bCs/>
          <w:color w:val="auto"/>
          <w:kern w:val="0"/>
          <w:sz w:val="32"/>
          <w:szCs w:val="32"/>
        </w:rPr>
        <w:t>，安置</w:t>
      </w:r>
      <w:r>
        <w:rPr>
          <w:rFonts w:hint="eastAsia" w:ascii="仿宋_GB2312" w:hAnsi="Tahoma" w:eastAsia="仿宋_GB2312" w:cs="Tahoma"/>
          <w:bCs/>
          <w:color w:val="auto"/>
          <w:kern w:val="0"/>
          <w:sz w:val="32"/>
          <w:szCs w:val="32"/>
          <w:lang w:eastAsia="zh-CN"/>
        </w:rPr>
        <w:t>优惠均</w:t>
      </w:r>
      <w:r>
        <w:rPr>
          <w:rFonts w:hint="eastAsia" w:ascii="仿宋_GB2312" w:hAnsi="Tahoma" w:eastAsia="仿宋_GB2312" w:cs="Tahoma"/>
          <w:bCs/>
          <w:color w:val="auto"/>
          <w:kern w:val="0"/>
          <w:sz w:val="32"/>
          <w:szCs w:val="32"/>
        </w:rPr>
        <w:t>价</w:t>
      </w:r>
      <w:r>
        <w:rPr>
          <w:rFonts w:hint="eastAsia" w:ascii="仿宋_GB2312" w:hAnsi="Tahoma" w:eastAsia="仿宋_GB2312" w:cs="Tahoma"/>
          <w:bCs/>
          <w:color w:val="auto"/>
          <w:kern w:val="0"/>
          <w:sz w:val="32"/>
          <w:szCs w:val="32"/>
          <w:u w:val="single"/>
          <w:lang w:val="en-US" w:eastAsia="zh-CN"/>
        </w:rPr>
        <w:t xml:space="preserve">   </w:t>
      </w:r>
      <w:r>
        <w:rPr>
          <w:rFonts w:hint="eastAsia" w:ascii="仿宋_GB2312" w:hAnsi="Tahoma" w:eastAsia="仿宋_GB2312" w:cs="Tahoma"/>
          <w:bCs/>
          <w:color w:val="auto"/>
          <w:kern w:val="0"/>
          <w:sz w:val="32"/>
          <w:szCs w:val="32"/>
        </w:rPr>
        <w:t>元/㎡</w:t>
      </w:r>
      <w:r>
        <w:rPr>
          <w:rFonts w:hint="eastAsia" w:ascii="仿宋_GB2312" w:hAnsi="Tahoma" w:eastAsia="仿宋_GB2312" w:cs="Tahoma"/>
          <w:bCs/>
          <w:color w:val="auto"/>
          <w:kern w:val="0"/>
          <w:sz w:val="32"/>
          <w:szCs w:val="32"/>
          <w:lang w:eastAsia="zh-CN"/>
        </w:rPr>
        <w:t>，市场价</w:t>
      </w:r>
      <w:r>
        <w:rPr>
          <w:rFonts w:hint="eastAsia" w:ascii="仿宋_GB2312" w:hAnsi="Tahoma" w:eastAsia="仿宋_GB2312" w:cs="Tahoma"/>
          <w:bCs/>
          <w:color w:val="auto"/>
          <w:kern w:val="0"/>
          <w:sz w:val="32"/>
          <w:szCs w:val="32"/>
          <w:u w:val="single"/>
          <w:lang w:val="en-US" w:eastAsia="zh-CN"/>
        </w:rPr>
        <w:t xml:space="preserve">   </w:t>
      </w:r>
      <w:r>
        <w:rPr>
          <w:rFonts w:hint="eastAsia" w:ascii="仿宋_GB2312" w:hAnsi="Tahoma" w:eastAsia="仿宋_GB2312" w:cs="Tahoma"/>
          <w:bCs/>
          <w:color w:val="auto"/>
          <w:kern w:val="0"/>
          <w:sz w:val="32"/>
          <w:szCs w:val="32"/>
        </w:rPr>
        <w:t>元/㎡；</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Tahoma" w:eastAsia="仿宋_GB2312" w:cs="Tahoma"/>
          <w:bCs/>
          <w:color w:val="auto"/>
          <w:kern w:val="0"/>
          <w:sz w:val="32"/>
          <w:szCs w:val="32"/>
        </w:rPr>
      </w:pPr>
      <w:r>
        <w:rPr>
          <w:rFonts w:hint="eastAsia" w:ascii="仿宋_GB2312" w:hAnsi="Tahoma" w:eastAsia="仿宋_GB2312" w:cs="Tahoma"/>
          <w:bCs/>
          <w:color w:val="auto"/>
          <w:kern w:val="0"/>
          <w:sz w:val="32"/>
          <w:szCs w:val="32"/>
        </w:rPr>
        <w:t>2.</w:t>
      </w:r>
      <w:r>
        <w:rPr>
          <w:rFonts w:hint="eastAsia" w:ascii="仿宋_GB2312" w:hAnsi="Tahoma" w:eastAsia="仿宋_GB2312" w:cs="Tahoma"/>
          <w:bCs/>
          <w:color w:val="auto"/>
          <w:kern w:val="0"/>
          <w:sz w:val="32"/>
          <w:szCs w:val="32"/>
          <w:lang w:eastAsia="zh-CN"/>
        </w:rPr>
        <w:t>牡丹</w:t>
      </w:r>
      <w:r>
        <w:rPr>
          <w:rFonts w:hint="eastAsia" w:ascii="仿宋_GB2312" w:hAnsi="Tahoma" w:eastAsia="仿宋_GB2312" w:cs="Tahoma"/>
          <w:bCs/>
          <w:color w:val="auto"/>
          <w:kern w:val="0"/>
          <w:sz w:val="32"/>
          <w:szCs w:val="32"/>
          <w:lang w:val="en-US" w:eastAsia="zh-CN"/>
        </w:rPr>
        <w:t>.崇德坊</w:t>
      </w:r>
      <w:r>
        <w:rPr>
          <w:rFonts w:hint="eastAsia" w:ascii="仿宋_GB2312" w:hAnsi="Tahoma" w:eastAsia="仿宋_GB2312" w:cs="Tahoma"/>
          <w:bCs/>
          <w:color w:val="auto"/>
          <w:kern w:val="0"/>
          <w:sz w:val="32"/>
          <w:szCs w:val="32"/>
        </w:rPr>
        <w:t>，安置</w:t>
      </w:r>
      <w:r>
        <w:rPr>
          <w:rFonts w:hint="eastAsia" w:ascii="仿宋_GB2312" w:hAnsi="Tahoma" w:eastAsia="仿宋_GB2312" w:cs="Tahoma"/>
          <w:bCs/>
          <w:color w:val="auto"/>
          <w:kern w:val="0"/>
          <w:sz w:val="32"/>
          <w:szCs w:val="32"/>
          <w:lang w:eastAsia="zh-CN"/>
        </w:rPr>
        <w:t>优惠均</w:t>
      </w:r>
      <w:r>
        <w:rPr>
          <w:rFonts w:hint="eastAsia" w:ascii="仿宋_GB2312" w:hAnsi="Tahoma" w:eastAsia="仿宋_GB2312" w:cs="Tahoma"/>
          <w:bCs/>
          <w:color w:val="auto"/>
          <w:kern w:val="0"/>
          <w:sz w:val="32"/>
          <w:szCs w:val="32"/>
        </w:rPr>
        <w:t>价</w:t>
      </w:r>
      <w:r>
        <w:rPr>
          <w:rFonts w:hint="eastAsia" w:ascii="仿宋_GB2312" w:hAnsi="Tahoma" w:eastAsia="仿宋_GB2312" w:cs="Tahoma"/>
          <w:bCs/>
          <w:color w:val="auto"/>
          <w:kern w:val="0"/>
          <w:sz w:val="32"/>
          <w:szCs w:val="32"/>
          <w:u w:val="single"/>
          <w:lang w:val="en-US" w:eastAsia="zh-CN"/>
        </w:rPr>
        <w:t xml:space="preserve">   </w:t>
      </w:r>
      <w:r>
        <w:rPr>
          <w:rFonts w:hint="eastAsia" w:ascii="仿宋_GB2312" w:hAnsi="Tahoma" w:eastAsia="仿宋_GB2312" w:cs="Tahoma"/>
          <w:bCs/>
          <w:color w:val="auto"/>
          <w:kern w:val="0"/>
          <w:sz w:val="32"/>
          <w:szCs w:val="32"/>
        </w:rPr>
        <w:t>元/㎡</w:t>
      </w:r>
      <w:r>
        <w:rPr>
          <w:rFonts w:hint="eastAsia" w:ascii="仿宋_GB2312" w:hAnsi="Tahoma" w:eastAsia="仿宋_GB2312" w:cs="Tahoma"/>
          <w:bCs/>
          <w:color w:val="auto"/>
          <w:kern w:val="0"/>
          <w:sz w:val="32"/>
          <w:szCs w:val="32"/>
          <w:lang w:eastAsia="zh-CN"/>
        </w:rPr>
        <w:t>，市场价</w:t>
      </w:r>
      <w:r>
        <w:rPr>
          <w:rFonts w:hint="eastAsia" w:ascii="仿宋_GB2312" w:hAnsi="Tahoma" w:eastAsia="仿宋_GB2312" w:cs="Tahoma"/>
          <w:bCs/>
          <w:color w:val="auto"/>
          <w:kern w:val="0"/>
          <w:sz w:val="32"/>
          <w:szCs w:val="32"/>
          <w:u w:val="single"/>
          <w:lang w:val="en-US" w:eastAsia="zh-CN"/>
        </w:rPr>
        <w:t xml:space="preserve">   </w:t>
      </w:r>
      <w:r>
        <w:rPr>
          <w:rFonts w:hint="eastAsia" w:ascii="仿宋_GB2312" w:hAnsi="Tahoma" w:eastAsia="仿宋_GB2312" w:cs="Tahoma"/>
          <w:bCs/>
          <w:color w:val="auto"/>
          <w:kern w:val="0"/>
          <w:sz w:val="32"/>
          <w:szCs w:val="32"/>
        </w:rPr>
        <w:t>元/㎡。</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楷体_GB2312" w:hAnsi="楷体" w:eastAsia="楷体_GB2312" w:cs="楷体"/>
          <w:bCs/>
          <w:color w:val="auto"/>
          <w:sz w:val="32"/>
          <w:szCs w:val="32"/>
        </w:rPr>
      </w:pPr>
      <w:r>
        <w:rPr>
          <w:rFonts w:hint="eastAsia" w:ascii="楷体_GB2312" w:hAnsi="楷体" w:eastAsia="楷体_GB2312" w:cs="楷体"/>
          <w:bCs/>
          <w:color w:val="auto"/>
          <w:sz w:val="32"/>
          <w:szCs w:val="32"/>
        </w:rPr>
        <w:t>（二）安置方式</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仿宋" w:eastAsia="仿宋_GB2312" w:cs="Tahoma"/>
          <w:bCs/>
          <w:color w:val="auto"/>
          <w:kern w:val="0"/>
          <w:sz w:val="32"/>
          <w:szCs w:val="32"/>
          <w:highlight w:val="none"/>
        </w:rPr>
      </w:pPr>
      <w:r>
        <w:rPr>
          <w:rFonts w:hint="eastAsia" w:ascii="仿宋_GB2312" w:hAnsi="仿宋" w:eastAsia="仿宋_GB2312" w:cs="Tahoma"/>
          <w:bCs/>
          <w:color w:val="auto"/>
          <w:kern w:val="0"/>
          <w:sz w:val="32"/>
          <w:szCs w:val="32"/>
        </w:rPr>
        <w:t>对被征收房屋价值的补偿有房屋产权调换和货币补偿两种方式</w:t>
      </w:r>
      <w:r>
        <w:rPr>
          <w:rFonts w:hint="eastAsia" w:ascii="仿宋_GB2312" w:hAnsi="仿宋" w:eastAsia="仿宋_GB2312" w:cs="Tahoma"/>
          <w:bCs/>
          <w:color w:val="auto"/>
          <w:kern w:val="0"/>
          <w:sz w:val="32"/>
          <w:szCs w:val="32"/>
          <w:lang w:eastAsia="zh-CN"/>
        </w:rPr>
        <w:t>，</w:t>
      </w:r>
      <w:r>
        <w:rPr>
          <w:rFonts w:hint="eastAsia" w:ascii="仿宋_GB2312" w:hAnsi="仿宋" w:eastAsia="仿宋_GB2312" w:cs="Tahoma"/>
          <w:bCs/>
          <w:color w:val="auto"/>
          <w:kern w:val="0"/>
          <w:sz w:val="32"/>
          <w:szCs w:val="32"/>
          <w:highlight w:val="none"/>
        </w:rPr>
        <w:t>被征收人有权选择补偿方式。</w:t>
      </w:r>
    </w:p>
    <w:p>
      <w:pPr>
        <w:keepNext w:val="0"/>
        <w:keepLines w:val="0"/>
        <w:pageBreakBefore w:val="0"/>
        <w:kinsoku/>
        <w:wordWrap/>
        <w:overflowPunct/>
        <w:topLinePunct w:val="0"/>
        <w:autoSpaceDE/>
        <w:autoSpaceDN/>
        <w:bidi w:val="0"/>
        <w:spacing w:line="500" w:lineRule="exact"/>
        <w:ind w:right="-155" w:rightChars="-74" w:firstLine="643" w:firstLineChars="200"/>
        <w:textAlignment w:val="auto"/>
        <w:rPr>
          <w:rFonts w:hint="eastAsia" w:ascii="仿宋_GB2312" w:hAnsi="仿宋" w:eastAsia="仿宋_GB2312" w:cs="仿宋"/>
          <w:b/>
          <w:bCs/>
          <w:color w:val="auto"/>
          <w:sz w:val="32"/>
          <w:szCs w:val="32"/>
        </w:rPr>
      </w:pPr>
      <w:r>
        <w:rPr>
          <w:rFonts w:hint="eastAsia" w:ascii="仿宋_GB2312" w:hAnsi="仿宋" w:eastAsia="仿宋_GB2312" w:cs="仿宋"/>
          <w:b/>
          <w:bCs/>
          <w:color w:val="auto"/>
          <w:sz w:val="32"/>
          <w:szCs w:val="32"/>
        </w:rPr>
        <w:t>1．征收住宅用房</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（1）房屋产权调换方式</w:t>
      </w:r>
    </w:p>
    <w:p>
      <w:pPr>
        <w:keepNext w:val="0"/>
        <w:keepLines w:val="0"/>
        <w:pageBreakBefore w:val="0"/>
        <w:kinsoku/>
        <w:wordWrap/>
        <w:overflowPunct/>
        <w:topLinePunct w:val="0"/>
        <w:autoSpaceDE/>
        <w:autoSpaceDN/>
        <w:bidi w:val="0"/>
        <w:spacing w:line="500" w:lineRule="exact"/>
        <w:ind w:firstLine="645"/>
        <w:textAlignment w:val="auto"/>
        <w:rPr>
          <w:rFonts w:hint="eastAsia" w:ascii="仿宋_GB2312" w:eastAsia="仿宋_GB2312"/>
          <w:color w:val="auto"/>
          <w:sz w:val="32"/>
          <w:szCs w:val="32"/>
          <w:lang w:eastAsia="zh-CN"/>
        </w:rPr>
      </w:pPr>
      <w:r>
        <w:rPr>
          <w:rFonts w:hint="eastAsia" w:ascii="仿宋_GB2312" w:hAnsi="仿宋" w:eastAsia="仿宋_GB2312" w:cs="Tahoma"/>
          <w:bCs/>
          <w:color w:val="auto"/>
          <w:kern w:val="0"/>
          <w:sz w:val="32"/>
          <w:szCs w:val="32"/>
        </w:rPr>
        <w:t>产权调换按照被征收房屋合法建筑面积原则上实行等面积置换，征收人提供用于产权调换的安置房屋</w:t>
      </w:r>
      <w:r>
        <w:rPr>
          <w:rFonts w:hint="eastAsia" w:ascii="仿宋_GB2312" w:hAnsi="仿宋" w:eastAsia="仿宋_GB2312" w:cs="Tahoma"/>
          <w:bCs/>
          <w:color w:val="auto"/>
          <w:kern w:val="0"/>
          <w:sz w:val="32"/>
          <w:szCs w:val="32"/>
          <w:lang w:eastAsia="zh-CN"/>
        </w:rPr>
        <w:t>。</w:t>
      </w:r>
      <w:r>
        <w:rPr>
          <w:rFonts w:hint="eastAsia" w:ascii="仿宋_GB2312" w:hAnsi="仿宋" w:eastAsia="仿宋_GB2312" w:cs="Tahoma"/>
          <w:bCs/>
          <w:color w:val="auto"/>
          <w:kern w:val="0"/>
          <w:sz w:val="32"/>
          <w:szCs w:val="32"/>
        </w:rPr>
        <w:t>被征收房屋与安置房屋</w:t>
      </w:r>
      <w:r>
        <w:rPr>
          <w:rFonts w:hint="eastAsia" w:ascii="仿宋_GB2312" w:hAnsi="仿宋" w:eastAsia="仿宋_GB2312" w:cs="Tahoma"/>
          <w:bCs/>
          <w:color w:val="auto"/>
          <w:kern w:val="0"/>
          <w:sz w:val="32"/>
          <w:szCs w:val="32"/>
          <w:u w:val="none"/>
        </w:rPr>
        <w:t>（</w:t>
      </w:r>
      <w:r>
        <w:rPr>
          <w:rFonts w:hint="eastAsia" w:ascii="仿宋_GB2312" w:eastAsia="仿宋_GB2312"/>
          <w:color w:val="auto"/>
          <w:sz w:val="32"/>
          <w:szCs w:val="32"/>
          <w:u w:val="none"/>
        </w:rPr>
        <w:t>结合楼层系数</w:t>
      </w:r>
      <w:r>
        <w:rPr>
          <w:rFonts w:hint="eastAsia" w:ascii="仿宋_GB2312" w:hAnsi="仿宋" w:eastAsia="仿宋_GB2312" w:cs="Tahoma"/>
          <w:bCs/>
          <w:color w:val="auto"/>
          <w:kern w:val="0"/>
          <w:sz w:val="32"/>
          <w:szCs w:val="32"/>
          <w:u w:val="none"/>
        </w:rPr>
        <w:t>）</w:t>
      </w:r>
      <w:r>
        <w:rPr>
          <w:rFonts w:hint="eastAsia" w:ascii="仿宋_GB2312" w:hAnsi="仿宋" w:eastAsia="仿宋_GB2312" w:cs="Tahoma"/>
          <w:bCs/>
          <w:color w:val="auto"/>
          <w:kern w:val="0"/>
          <w:sz w:val="32"/>
          <w:szCs w:val="32"/>
        </w:rPr>
        <w:t>各计各价，互找差价。</w:t>
      </w:r>
      <w:r>
        <w:rPr>
          <w:rFonts w:hint="eastAsia" w:ascii="仿宋_GB2312" w:hAnsi="仿宋" w:eastAsia="仿宋_GB2312" w:cs="Tahoma"/>
          <w:bCs/>
          <w:color w:val="auto"/>
          <w:kern w:val="0"/>
          <w:sz w:val="32"/>
          <w:szCs w:val="32"/>
          <w:lang w:eastAsia="zh-CN"/>
        </w:rPr>
        <w:t>同面积部分安置优惠均价比被征收房屋评估均价高</w:t>
      </w:r>
      <w:r>
        <w:rPr>
          <w:rFonts w:hint="eastAsia" w:ascii="仿宋_GB2312" w:hAnsi="仿宋" w:eastAsia="仿宋_GB2312" w:cs="Tahoma"/>
          <w:bCs/>
          <w:color w:val="auto"/>
          <w:kern w:val="0"/>
          <w:sz w:val="32"/>
          <w:szCs w:val="32"/>
          <w:lang w:val="en-US" w:eastAsia="zh-CN"/>
        </w:rPr>
        <w:t>200元/</w:t>
      </w:r>
      <w:r>
        <w:rPr>
          <w:rFonts w:hint="eastAsia" w:ascii="仿宋_GB2312" w:hAnsi="仿宋" w:eastAsia="仿宋_GB2312" w:cs="Tahoma"/>
          <w:bCs/>
          <w:color w:val="auto"/>
          <w:kern w:val="0"/>
          <w:sz w:val="32"/>
          <w:szCs w:val="32"/>
          <w:lang w:eastAsia="zh-CN"/>
        </w:rPr>
        <w:t>㎡</w:t>
      </w:r>
      <w:r>
        <w:rPr>
          <w:rFonts w:hint="eastAsia" w:ascii="仿宋_GB2312" w:hAnsi="仿宋" w:eastAsia="仿宋_GB2312" w:cs="Tahoma"/>
          <w:bCs/>
          <w:color w:val="auto"/>
          <w:kern w:val="0"/>
          <w:sz w:val="32"/>
          <w:szCs w:val="32"/>
          <w:lang w:val="en-US" w:eastAsia="zh-CN"/>
        </w:rPr>
        <w:t>左右。</w:t>
      </w:r>
      <w:r>
        <w:rPr>
          <w:rFonts w:hint="eastAsia" w:ascii="仿宋_GB2312" w:eastAsia="仿宋_GB2312"/>
          <w:color w:val="auto"/>
          <w:sz w:val="32"/>
          <w:szCs w:val="32"/>
        </w:rPr>
        <w:t>每户可按安置房综合建设成本价增购</w:t>
      </w:r>
      <w:r>
        <w:rPr>
          <w:rFonts w:hint="eastAsia" w:ascii="仿宋_GB2312" w:hAnsi="仿宋_GB2312" w:eastAsia="仿宋_GB2312" w:cs="仿宋_GB2312"/>
          <w:color w:val="auto"/>
          <w:sz w:val="32"/>
          <w:szCs w:val="32"/>
        </w:rPr>
        <w:t>被征收房屋有效认证面积</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eastAsia="zh-CN"/>
        </w:rPr>
        <w:t>，最多不超过</w:t>
      </w:r>
      <w:r>
        <w:rPr>
          <w:rFonts w:hint="eastAsia" w:ascii="仿宋_GB2312" w:hAnsi="仿宋_GB2312" w:eastAsia="仿宋_GB2312" w:cs="仿宋_GB2312"/>
          <w:color w:val="auto"/>
          <w:sz w:val="32"/>
          <w:szCs w:val="32"/>
          <w:lang w:val="en-US" w:eastAsia="zh-CN"/>
        </w:rPr>
        <w:t>60</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lang w:eastAsia="zh-CN"/>
        </w:rPr>
        <w:t>同时</w:t>
      </w:r>
      <w:r>
        <w:rPr>
          <w:rFonts w:hint="eastAsia" w:ascii="仿宋_GB2312" w:eastAsia="仿宋_GB2312"/>
          <w:color w:val="auto"/>
          <w:sz w:val="32"/>
          <w:szCs w:val="32"/>
        </w:rPr>
        <w:t>可按应安置面积上靠选择接近的户型，超出规定增购部分的，按安置房</w:t>
      </w:r>
      <w:r>
        <w:rPr>
          <w:rFonts w:hint="eastAsia" w:ascii="仿宋_GB2312" w:eastAsia="仿宋_GB2312"/>
          <w:color w:val="auto"/>
          <w:sz w:val="32"/>
          <w:szCs w:val="32"/>
          <w:lang w:eastAsia="zh-CN"/>
        </w:rPr>
        <w:t>市场价</w:t>
      </w:r>
      <w:r>
        <w:rPr>
          <w:rFonts w:hint="eastAsia" w:ascii="仿宋_GB2312" w:hAnsi="仿宋" w:eastAsia="仿宋_GB2312" w:cs="Tahoma"/>
          <w:bCs/>
          <w:color w:val="auto"/>
          <w:kern w:val="0"/>
          <w:sz w:val="32"/>
          <w:szCs w:val="32"/>
          <w:u w:val="none"/>
        </w:rPr>
        <w:t>（</w:t>
      </w:r>
      <w:r>
        <w:rPr>
          <w:rFonts w:hint="eastAsia" w:ascii="仿宋_GB2312" w:eastAsia="仿宋_GB2312"/>
          <w:color w:val="auto"/>
          <w:sz w:val="32"/>
          <w:szCs w:val="32"/>
          <w:u w:val="none"/>
        </w:rPr>
        <w:t>结合楼层系数</w:t>
      </w:r>
      <w:r>
        <w:rPr>
          <w:rFonts w:hint="eastAsia" w:ascii="仿宋_GB2312" w:hAnsi="仿宋" w:eastAsia="仿宋_GB2312" w:cs="Tahoma"/>
          <w:bCs/>
          <w:color w:val="auto"/>
          <w:kern w:val="0"/>
          <w:sz w:val="32"/>
          <w:szCs w:val="32"/>
          <w:u w:val="none"/>
        </w:rPr>
        <w:t>）</w:t>
      </w:r>
      <w:r>
        <w:rPr>
          <w:rFonts w:hint="eastAsia" w:ascii="仿宋_GB2312" w:eastAsia="仿宋_GB2312"/>
          <w:color w:val="auto"/>
          <w:sz w:val="32"/>
          <w:szCs w:val="32"/>
        </w:rPr>
        <w:t>计算</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u w:val="none"/>
        </w:rPr>
        <w:t>不增购不给予货币奖励</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Arial" w:eastAsia="仿宋_GB2312" w:cs="Arial"/>
          <w:color w:val="auto"/>
          <w:kern w:val="0"/>
          <w:sz w:val="32"/>
          <w:szCs w:val="32"/>
        </w:rPr>
      </w:pPr>
      <w:r>
        <w:rPr>
          <w:rFonts w:hint="eastAsia" w:ascii="仿宋_GB2312" w:eastAsia="仿宋_GB2312"/>
          <w:color w:val="auto"/>
          <w:sz w:val="32"/>
          <w:szCs w:val="32"/>
        </w:rPr>
        <w:t>被征收房屋面积较</w:t>
      </w:r>
      <w:r>
        <w:rPr>
          <w:rFonts w:hint="eastAsia" w:ascii="仿宋_GB2312" w:hAnsi="Arial" w:eastAsia="仿宋_GB2312" w:cs="Arial"/>
          <w:color w:val="auto"/>
          <w:kern w:val="0"/>
          <w:sz w:val="32"/>
          <w:szCs w:val="32"/>
        </w:rPr>
        <w:t>小，增购后仍不足60平方米部分可按增购综合成本价增购至60平方米。</w:t>
      </w:r>
      <w:r>
        <w:rPr>
          <w:rFonts w:hint="eastAsia" w:ascii="仿宋_GB2312" w:hAnsi="Arial" w:eastAsia="仿宋_GB2312" w:cs="Arial"/>
          <w:color w:val="auto"/>
          <w:kern w:val="0"/>
          <w:sz w:val="32"/>
          <w:szCs w:val="32"/>
          <w:lang w:eastAsia="zh-CN"/>
        </w:rPr>
        <w:t>同时根据</w:t>
      </w:r>
      <w:r>
        <w:rPr>
          <w:rFonts w:hint="eastAsia" w:ascii="仿宋_GB2312" w:eastAsia="仿宋_GB2312"/>
          <w:color w:val="auto"/>
          <w:sz w:val="32"/>
          <w:szCs w:val="32"/>
          <w:lang w:val="en-US" w:eastAsia="zh-CN"/>
        </w:rPr>
        <w:t>被征收人实际情况，合法建筑面积在50平方米至100平方米之间的，原则上可按下列方式选房：被征收房屋有效认证面积在50㎡（含50㎡）以上，最大可以选择100㎡户型安置房，70㎡（含70㎡）以上最大可以选择120㎡户型安置房。</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被征收人配合征收，且在规定期限内腾空交付房屋签订补偿安置协议的，由征收人按照被征收房屋合法建筑面积及其附属物评估总价的</w:t>
      </w:r>
      <w:r>
        <w:rPr>
          <w:rFonts w:hint="eastAsia" w:ascii="仿宋_GB2312" w:hAnsi="Tahoma" w:eastAsia="仿宋_GB2312" w:cs="Tahoma"/>
          <w:bCs/>
          <w:color w:val="auto"/>
          <w:kern w:val="0"/>
          <w:sz w:val="32"/>
          <w:szCs w:val="32"/>
        </w:rPr>
        <w:t>15</w:t>
      </w:r>
      <w:r>
        <w:rPr>
          <w:rFonts w:hint="eastAsia" w:ascii="仿宋_GB2312" w:hAnsi="仿宋" w:eastAsia="仿宋" w:cs="Tahoma"/>
          <w:bCs/>
          <w:color w:val="auto"/>
          <w:kern w:val="0"/>
          <w:sz w:val="32"/>
          <w:szCs w:val="32"/>
        </w:rPr>
        <w:t>%</w:t>
      </w:r>
      <w:r>
        <w:rPr>
          <w:rFonts w:hint="eastAsia" w:ascii="仿宋_GB2312" w:hAnsi="仿宋" w:eastAsia="仿宋_GB2312" w:cs="Tahoma"/>
          <w:bCs/>
          <w:color w:val="auto"/>
          <w:kern w:val="0"/>
          <w:sz w:val="32"/>
          <w:szCs w:val="32"/>
        </w:rPr>
        <w:t>予以奖励。</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被征收住宅房不得与经营性用房进行产权调换。</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①</w:t>
      </w:r>
      <w:r>
        <w:rPr>
          <w:rFonts w:hint="eastAsia" w:ascii="仿宋_GB2312" w:hAnsi="Tahoma" w:eastAsia="仿宋_GB2312" w:cs="Tahoma"/>
          <w:bCs/>
          <w:color w:val="auto"/>
          <w:kern w:val="0"/>
          <w:sz w:val="32"/>
          <w:szCs w:val="32"/>
          <w:lang w:eastAsia="zh-CN"/>
        </w:rPr>
        <w:t>万福花园</w:t>
      </w:r>
      <w:r>
        <w:rPr>
          <w:rFonts w:hint="eastAsia" w:ascii="仿宋_GB2312" w:hAnsi="Tahoma" w:eastAsia="仿宋_GB2312" w:cs="Tahoma"/>
          <w:bCs/>
          <w:color w:val="auto"/>
          <w:kern w:val="0"/>
          <w:sz w:val="32"/>
          <w:szCs w:val="32"/>
        </w:rPr>
        <w:t>，</w:t>
      </w:r>
      <w:r>
        <w:rPr>
          <w:rFonts w:hint="eastAsia" w:ascii="仿宋_GB2312" w:eastAsia="仿宋_GB2312"/>
          <w:color w:val="auto"/>
          <w:sz w:val="32"/>
          <w:szCs w:val="32"/>
        </w:rPr>
        <w:t>综合建设成本均价</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rPr>
        <w:t>元/㎡；</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仿宋_GB2312" w:hAnsi="Tahoma" w:eastAsia="仿宋_GB2312" w:cs="Tahoma"/>
          <w:bCs/>
          <w:color w:val="auto"/>
          <w:kern w:val="0"/>
          <w:sz w:val="32"/>
          <w:szCs w:val="32"/>
        </w:rPr>
      </w:pPr>
      <w:r>
        <w:rPr>
          <w:rFonts w:hint="eastAsia" w:ascii="仿宋_GB2312" w:eastAsia="仿宋_GB2312"/>
          <w:color w:val="auto"/>
          <w:sz w:val="32"/>
          <w:szCs w:val="32"/>
        </w:rPr>
        <w:t>②</w:t>
      </w:r>
      <w:r>
        <w:rPr>
          <w:rFonts w:hint="eastAsia" w:ascii="仿宋_GB2312" w:hAnsi="Tahoma" w:eastAsia="仿宋_GB2312" w:cs="Tahoma"/>
          <w:bCs/>
          <w:color w:val="auto"/>
          <w:kern w:val="0"/>
          <w:sz w:val="32"/>
          <w:szCs w:val="32"/>
          <w:lang w:eastAsia="zh-CN"/>
        </w:rPr>
        <w:t>牡丹</w:t>
      </w:r>
      <w:r>
        <w:rPr>
          <w:rFonts w:hint="eastAsia" w:ascii="仿宋_GB2312" w:hAnsi="Tahoma" w:eastAsia="仿宋_GB2312" w:cs="Tahoma"/>
          <w:bCs/>
          <w:color w:val="auto"/>
          <w:kern w:val="0"/>
          <w:sz w:val="32"/>
          <w:szCs w:val="32"/>
          <w:lang w:val="en-US" w:eastAsia="zh-CN"/>
        </w:rPr>
        <w:t>.崇德坊</w:t>
      </w:r>
      <w:r>
        <w:rPr>
          <w:rFonts w:hint="eastAsia" w:ascii="仿宋_GB2312" w:hAnsi="Tahoma" w:eastAsia="仿宋_GB2312" w:cs="Tahoma"/>
          <w:bCs/>
          <w:color w:val="auto"/>
          <w:kern w:val="0"/>
          <w:sz w:val="32"/>
          <w:szCs w:val="32"/>
        </w:rPr>
        <w:t>，</w:t>
      </w:r>
      <w:r>
        <w:rPr>
          <w:rFonts w:hint="eastAsia" w:ascii="仿宋_GB2312" w:eastAsia="仿宋_GB2312"/>
          <w:color w:val="auto"/>
          <w:sz w:val="32"/>
          <w:szCs w:val="32"/>
        </w:rPr>
        <w:t>综合建设成本均价</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rPr>
        <w:t>元/㎡</w:t>
      </w:r>
      <w:r>
        <w:rPr>
          <w:rFonts w:hint="eastAsia" w:ascii="仿宋_GB2312" w:hAnsi="Tahoma" w:eastAsia="仿宋_GB2312" w:cs="Tahoma"/>
          <w:bCs/>
          <w:color w:val="auto"/>
          <w:kern w:val="0"/>
          <w:sz w:val="32"/>
          <w:szCs w:val="32"/>
        </w:rPr>
        <w:t>。</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（2）货币补偿方式</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被征收人选择货币化补偿方式，补偿标准包括：</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被征收房屋合法建筑面积及其附属物评估总价；</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政策奖励：对配合征收且</w:t>
      </w:r>
      <w:r>
        <w:rPr>
          <w:rFonts w:hint="eastAsia" w:ascii="仿宋_GB2312" w:hAnsi="仿宋" w:eastAsia="仿宋_GB2312" w:cs="Tahoma"/>
          <w:bCs/>
          <w:color w:val="auto"/>
          <w:kern w:val="0"/>
          <w:sz w:val="32"/>
          <w:szCs w:val="32"/>
        </w:rPr>
        <w:t>在规定期限内腾空交付房屋并签订补偿协议的被征收人，住宅房按被征收房屋合法建筑面积及其附属物评估总价的15%予以奖励。</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lang w:eastAsia="zh-CN"/>
        </w:rPr>
      </w:pPr>
      <w:r>
        <w:rPr>
          <w:rFonts w:hint="eastAsia" w:ascii="仿宋_GB2312" w:hAnsi="仿宋" w:eastAsia="仿宋_GB2312" w:cs="Tahoma"/>
          <w:color w:val="auto"/>
          <w:kern w:val="0"/>
          <w:sz w:val="32"/>
          <w:szCs w:val="32"/>
        </w:rPr>
        <w:t>（3）购买商品房补助：在本县城市规划区内购买商品房的（以征收人确定房源为准），按照</w:t>
      </w:r>
      <w:r>
        <w:rPr>
          <w:rFonts w:hint="eastAsia" w:ascii="仿宋_GB2312" w:eastAsia="仿宋_GB2312"/>
          <w:color w:val="auto"/>
          <w:sz w:val="32"/>
          <w:szCs w:val="32"/>
        </w:rPr>
        <w:t>《凤阳县城市规划区内房屋征收货币化安置实施细则》执行</w:t>
      </w:r>
      <w:r>
        <w:rPr>
          <w:rFonts w:hint="eastAsia" w:ascii="仿宋_GB2312" w:eastAsia="仿宋_GB2312"/>
          <w:color w:val="auto"/>
          <w:sz w:val="32"/>
          <w:szCs w:val="32"/>
          <w:lang w:eastAsia="zh-CN"/>
        </w:rPr>
        <w:t>：</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临时安置过渡费为一次性补助12个月；</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按应安置面积给予1元/</w:t>
      </w:r>
      <w:r>
        <w:rPr>
          <w:rFonts w:hint="eastAsia" w:ascii="宋体" w:hAnsi="宋体"/>
          <w:color w:val="auto"/>
          <w:sz w:val="32"/>
          <w:szCs w:val="32"/>
        </w:rPr>
        <w:t>㎡·</w:t>
      </w:r>
      <w:r>
        <w:rPr>
          <w:rFonts w:hint="eastAsia" w:ascii="仿宋_GB2312" w:hAnsi="仿宋" w:eastAsia="仿宋_GB2312" w:cs="Tahoma"/>
          <w:color w:val="auto"/>
          <w:kern w:val="0"/>
          <w:sz w:val="32"/>
          <w:szCs w:val="32"/>
        </w:rPr>
        <w:t>月物业管理补助，不足60</w:t>
      </w:r>
      <w:r>
        <w:rPr>
          <w:rFonts w:hint="eastAsia" w:ascii="仿宋_GB2312" w:hAnsi="宋体" w:cs="Tahoma"/>
          <w:color w:val="auto"/>
          <w:kern w:val="0"/>
          <w:sz w:val="32"/>
          <w:szCs w:val="32"/>
        </w:rPr>
        <w:t>㎡</w:t>
      </w:r>
      <w:r>
        <w:rPr>
          <w:rFonts w:hint="eastAsia" w:ascii="仿宋_GB2312" w:hAnsi="宋体" w:eastAsia="仿宋_GB2312" w:cs="Tahoma"/>
          <w:color w:val="auto"/>
          <w:kern w:val="0"/>
          <w:sz w:val="32"/>
          <w:szCs w:val="32"/>
        </w:rPr>
        <w:t>按60</w:t>
      </w:r>
      <w:r>
        <w:rPr>
          <w:rFonts w:hint="eastAsia" w:ascii="仿宋_GB2312" w:hAnsi="宋体" w:cs="Tahoma"/>
          <w:color w:val="auto"/>
          <w:kern w:val="0"/>
          <w:sz w:val="32"/>
          <w:szCs w:val="32"/>
        </w:rPr>
        <w:t>㎡</w:t>
      </w:r>
      <w:r>
        <w:rPr>
          <w:rFonts w:hint="eastAsia" w:ascii="仿宋_GB2312" w:hAnsi="宋体" w:eastAsia="仿宋_GB2312" w:cs="Tahoma"/>
          <w:color w:val="auto"/>
          <w:kern w:val="0"/>
          <w:sz w:val="32"/>
          <w:szCs w:val="32"/>
        </w:rPr>
        <w:t>计算</w:t>
      </w:r>
      <w:r>
        <w:rPr>
          <w:rFonts w:hint="eastAsia" w:ascii="宋体" w:hAnsi="宋体" w:cs="Tahoma"/>
          <w:color w:val="auto"/>
          <w:kern w:val="0"/>
          <w:sz w:val="32"/>
          <w:szCs w:val="32"/>
        </w:rPr>
        <w:t>，</w:t>
      </w:r>
      <w:r>
        <w:rPr>
          <w:rFonts w:hint="eastAsia" w:ascii="仿宋_GB2312" w:hAnsi="仿宋" w:eastAsia="仿宋_GB2312" w:cs="Tahoma"/>
          <w:color w:val="auto"/>
          <w:kern w:val="0"/>
          <w:sz w:val="32"/>
          <w:szCs w:val="32"/>
        </w:rPr>
        <w:t>一次性补助60个月；</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宋体" w:eastAsia="仿宋_GB2312" w:cs="Tahoma"/>
          <w:color w:val="auto"/>
          <w:kern w:val="0"/>
          <w:sz w:val="32"/>
          <w:szCs w:val="32"/>
        </w:rPr>
      </w:pPr>
      <w:r>
        <w:rPr>
          <w:rFonts w:hint="eastAsia" w:ascii="仿宋_GB2312" w:hAnsi="仿宋" w:eastAsia="仿宋_GB2312" w:cs="Tahoma"/>
          <w:color w:val="auto"/>
          <w:kern w:val="0"/>
          <w:sz w:val="32"/>
          <w:szCs w:val="32"/>
        </w:rPr>
        <w:t>按应安置面积一次性给予60元/</w:t>
      </w:r>
      <w:r>
        <w:rPr>
          <w:rFonts w:hint="eastAsia" w:ascii="宋体" w:hAnsi="宋体" w:cs="Tahoma"/>
          <w:color w:val="auto"/>
          <w:kern w:val="0"/>
          <w:sz w:val="32"/>
          <w:szCs w:val="32"/>
        </w:rPr>
        <w:t>㎡</w:t>
      </w:r>
      <w:r>
        <w:rPr>
          <w:rFonts w:hint="eastAsia" w:ascii="仿宋_GB2312" w:hAnsi="仿宋" w:eastAsia="仿宋_GB2312" w:cs="Tahoma"/>
          <w:color w:val="auto"/>
          <w:kern w:val="0"/>
          <w:sz w:val="32"/>
          <w:szCs w:val="32"/>
        </w:rPr>
        <w:t>物业维修资金补助，不足60</w:t>
      </w:r>
      <w:r>
        <w:rPr>
          <w:rFonts w:hint="eastAsia" w:ascii="仿宋_GB2312" w:hAnsi="宋体" w:cs="Tahoma"/>
          <w:color w:val="auto"/>
          <w:kern w:val="0"/>
          <w:sz w:val="32"/>
          <w:szCs w:val="32"/>
        </w:rPr>
        <w:t>㎡</w:t>
      </w:r>
      <w:r>
        <w:rPr>
          <w:rFonts w:hint="eastAsia" w:ascii="仿宋_GB2312" w:hAnsi="宋体" w:eastAsia="仿宋_GB2312" w:cs="Tahoma"/>
          <w:color w:val="auto"/>
          <w:kern w:val="0"/>
          <w:sz w:val="32"/>
          <w:szCs w:val="32"/>
        </w:rPr>
        <w:t>按60</w:t>
      </w:r>
      <w:r>
        <w:rPr>
          <w:rFonts w:hint="eastAsia" w:ascii="仿宋_GB2312" w:hAnsi="宋体" w:cs="Tahoma"/>
          <w:color w:val="auto"/>
          <w:kern w:val="0"/>
          <w:sz w:val="32"/>
          <w:szCs w:val="32"/>
        </w:rPr>
        <w:t>㎡</w:t>
      </w:r>
      <w:r>
        <w:rPr>
          <w:rFonts w:hint="eastAsia" w:ascii="仿宋_GB2312" w:hAnsi="宋体" w:eastAsia="仿宋_GB2312" w:cs="Tahoma"/>
          <w:color w:val="auto"/>
          <w:kern w:val="0"/>
          <w:sz w:val="32"/>
          <w:szCs w:val="32"/>
        </w:rPr>
        <w:t>计算；</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按照应安置面积（不足60</w:t>
      </w:r>
      <w:r>
        <w:rPr>
          <w:rFonts w:hint="eastAsia" w:ascii="仿宋_GB2312" w:hAnsi="宋体" w:cs="Tahoma"/>
          <w:color w:val="auto"/>
          <w:kern w:val="0"/>
          <w:sz w:val="32"/>
          <w:szCs w:val="32"/>
        </w:rPr>
        <w:t>㎡</w:t>
      </w:r>
      <w:r>
        <w:rPr>
          <w:rFonts w:hint="eastAsia" w:ascii="仿宋_GB2312" w:hAnsi="宋体" w:eastAsia="仿宋_GB2312" w:cs="Tahoma"/>
          <w:color w:val="auto"/>
          <w:kern w:val="0"/>
          <w:sz w:val="32"/>
          <w:szCs w:val="32"/>
        </w:rPr>
        <w:t>按60</w:t>
      </w:r>
      <w:r>
        <w:rPr>
          <w:rFonts w:hint="eastAsia" w:ascii="仿宋_GB2312" w:hAnsi="宋体" w:cs="Tahoma"/>
          <w:color w:val="auto"/>
          <w:kern w:val="0"/>
          <w:sz w:val="32"/>
          <w:szCs w:val="32"/>
        </w:rPr>
        <w:t>㎡</w:t>
      </w:r>
      <w:r>
        <w:rPr>
          <w:rFonts w:hint="eastAsia" w:ascii="仿宋_GB2312" w:hAnsi="宋体" w:eastAsia="仿宋_GB2312" w:cs="Tahoma"/>
          <w:color w:val="auto"/>
          <w:kern w:val="0"/>
          <w:sz w:val="32"/>
          <w:szCs w:val="32"/>
        </w:rPr>
        <w:t>计算</w:t>
      </w:r>
      <w:r>
        <w:rPr>
          <w:rFonts w:hint="eastAsia" w:ascii="仿宋_GB2312" w:hAnsi="仿宋" w:eastAsia="仿宋_GB2312" w:cs="Tahoma"/>
          <w:color w:val="auto"/>
          <w:kern w:val="0"/>
          <w:sz w:val="32"/>
          <w:szCs w:val="32"/>
        </w:rPr>
        <w:t>），根据同期公布的凤阳县城市规划区范围内土地级别标准给予</w:t>
      </w:r>
      <w:r>
        <w:rPr>
          <w:rFonts w:hint="eastAsia" w:ascii="仿宋_GB2312" w:hAnsi="仿宋" w:eastAsia="仿宋_GB2312" w:cs="Tahoma"/>
          <w:color w:val="auto"/>
          <w:kern w:val="0"/>
          <w:sz w:val="32"/>
          <w:szCs w:val="32"/>
          <w:u w:val="single"/>
          <w:lang w:val="en-US" w:eastAsia="zh-CN"/>
        </w:rPr>
        <w:t xml:space="preserve">     </w:t>
      </w:r>
      <w:r>
        <w:rPr>
          <w:rFonts w:hint="eastAsia" w:ascii="仿宋_GB2312" w:hAnsi="仿宋" w:eastAsia="仿宋_GB2312" w:cs="Tahoma"/>
          <w:color w:val="auto"/>
          <w:kern w:val="0"/>
          <w:sz w:val="32"/>
          <w:szCs w:val="32"/>
        </w:rPr>
        <w:t>元/㎡补助。</w:t>
      </w:r>
    </w:p>
    <w:p>
      <w:pPr>
        <w:keepNext w:val="0"/>
        <w:keepLines w:val="0"/>
        <w:pageBreakBefore w:val="0"/>
        <w:kinsoku/>
        <w:wordWrap/>
        <w:overflowPunct/>
        <w:topLinePunct w:val="0"/>
        <w:autoSpaceDE/>
        <w:autoSpaceDN/>
        <w:bidi w:val="0"/>
        <w:spacing w:line="500" w:lineRule="exact"/>
        <w:ind w:right="-155" w:rightChars="-74" w:firstLine="643" w:firstLineChars="200"/>
        <w:textAlignment w:val="auto"/>
        <w:rPr>
          <w:rFonts w:hint="eastAsia" w:ascii="仿宋" w:hAnsi="仿宋" w:eastAsia="仿宋" w:cs="仿宋"/>
          <w:b/>
          <w:bCs/>
          <w:color w:val="auto"/>
          <w:sz w:val="32"/>
          <w:szCs w:val="32"/>
        </w:rPr>
      </w:pPr>
      <w:r>
        <w:rPr>
          <w:rFonts w:hint="eastAsia" w:ascii="仿宋_GB2312" w:hAnsi="仿宋" w:eastAsia="仿宋_GB2312" w:cs="仿宋"/>
          <w:b/>
          <w:bCs/>
          <w:color w:val="auto"/>
          <w:sz w:val="32"/>
          <w:szCs w:val="32"/>
        </w:rPr>
        <w:t>2．征收办公、工业、仓储用途等非住宅用房</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征收办公、工业、仓储等非住宅用房统一实行货币补偿。在规定期限内腾空交付房屋签订补偿协议的，征收人按照被征收房屋合法建筑面积（不含装修、附属物）补偿10%予以奖励。符合政府土地收购相关政策规定的，按相关政策执行。</w:t>
      </w:r>
    </w:p>
    <w:p>
      <w:pPr>
        <w:keepNext w:val="0"/>
        <w:keepLines w:val="0"/>
        <w:pageBreakBefore w:val="0"/>
        <w:kinsoku/>
        <w:wordWrap/>
        <w:overflowPunct/>
        <w:topLinePunct w:val="0"/>
        <w:autoSpaceDE/>
        <w:autoSpaceDN/>
        <w:bidi w:val="0"/>
        <w:spacing w:line="500" w:lineRule="exact"/>
        <w:ind w:right="-155" w:rightChars="-74" w:firstLine="643" w:firstLineChars="200"/>
        <w:textAlignment w:val="auto"/>
        <w:rPr>
          <w:rFonts w:hint="eastAsia" w:ascii="仿宋_GB2312" w:hAnsi="仿宋" w:eastAsia="仿宋_GB2312" w:cs="仿宋"/>
          <w:b/>
          <w:bCs/>
          <w:color w:val="auto"/>
          <w:sz w:val="32"/>
          <w:szCs w:val="32"/>
        </w:rPr>
      </w:pPr>
      <w:r>
        <w:rPr>
          <w:rFonts w:hint="eastAsia" w:ascii="仿宋_GB2312" w:hAnsi="仿宋" w:eastAsia="仿宋_GB2312" w:cs="仿宋"/>
          <w:b/>
          <w:bCs/>
          <w:color w:val="auto"/>
          <w:sz w:val="32"/>
          <w:szCs w:val="32"/>
        </w:rPr>
        <w:t>3．征收商业非住宅用房</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征收个人合法产权证载用途为经营性用房的，原则上征收人按被征收房屋类似房地产的市场评估价值给予货币补偿。在安置房源允许的情况下，可按被征收房屋面积选择上靠一个户型的安置小区经营性用房进行产权调换，被征收房屋与安置房屋各计各价，互找差价。在规定期限内签订补偿安置协议腾空交付房屋的，按照被征收房屋合法建筑面积及其附属物评估总价的15％予以奖励。</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lang w:eastAsia="zh-CN"/>
        </w:rPr>
      </w:pPr>
      <w:r>
        <w:rPr>
          <w:rFonts w:hint="eastAsia" w:ascii="仿宋_GB2312" w:hAnsi="仿宋_GB2312" w:eastAsia="仿宋_GB2312" w:cs="仿宋_GB2312"/>
          <w:color w:val="auto"/>
          <w:sz w:val="32"/>
          <w:szCs w:val="32"/>
        </w:rPr>
        <w:t>被征收人选择货币补偿的，根据房地产评估价格予以一次性货币补偿。在规定期限内签订补偿安置协议腾空交付房屋的，按照被征收房屋合法建筑面积及其附属物评估总价的30％予以货币补偿奖励。</w:t>
      </w:r>
    </w:p>
    <w:p>
      <w:pPr>
        <w:keepNext w:val="0"/>
        <w:keepLines w:val="0"/>
        <w:pageBreakBefore w:val="0"/>
        <w:widowControl/>
        <w:tabs>
          <w:tab w:val="left" w:pos="720"/>
        </w:tabs>
        <w:kinsoku/>
        <w:wordWrap/>
        <w:overflowPunct/>
        <w:topLinePunct w:val="0"/>
        <w:autoSpaceDE/>
        <w:autoSpaceDN/>
        <w:bidi w:val="0"/>
        <w:spacing w:line="500" w:lineRule="exact"/>
        <w:ind w:firstLine="643" w:firstLineChars="200"/>
        <w:textAlignment w:val="auto"/>
        <w:rPr>
          <w:rFonts w:hint="eastAsia" w:ascii="仿宋_GB2312" w:hAnsi="仿宋" w:eastAsia="仿宋_GB2312" w:cs="仿宋"/>
          <w:b/>
          <w:bCs/>
          <w:color w:val="auto"/>
          <w:sz w:val="32"/>
          <w:szCs w:val="32"/>
        </w:rPr>
      </w:pPr>
      <w:r>
        <w:rPr>
          <w:rFonts w:hint="eastAsia" w:ascii="仿宋_GB2312" w:hAnsi="仿宋" w:eastAsia="仿宋_GB2312" w:cs="仿宋"/>
          <w:b/>
          <w:bCs/>
          <w:color w:val="auto"/>
          <w:sz w:val="32"/>
          <w:szCs w:val="32"/>
        </w:rPr>
        <w:t>4.征收临路一层一进住宅房</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（1）对临</w:t>
      </w:r>
      <w:r>
        <w:rPr>
          <w:rFonts w:hint="eastAsia" w:ascii="仿宋_GB2312" w:hAnsi="仿宋" w:eastAsia="仿宋_GB2312" w:cs="Tahoma"/>
          <w:color w:val="auto"/>
          <w:kern w:val="0"/>
          <w:sz w:val="32"/>
          <w:szCs w:val="32"/>
          <w:lang w:eastAsia="zh-CN"/>
        </w:rPr>
        <w:t>永乐</w:t>
      </w:r>
      <w:r>
        <w:rPr>
          <w:rFonts w:hint="eastAsia" w:ascii="仿宋_GB2312" w:hAnsi="仿宋" w:eastAsia="仿宋_GB2312" w:cs="Tahoma"/>
          <w:color w:val="auto"/>
          <w:kern w:val="0"/>
          <w:sz w:val="32"/>
          <w:szCs w:val="32"/>
        </w:rPr>
        <w:t>路</w:t>
      </w:r>
      <w:r>
        <w:rPr>
          <w:rFonts w:hint="eastAsia" w:ascii="仿宋_GB2312" w:hAnsi="仿宋" w:eastAsia="仿宋_GB2312" w:cs="Tahoma"/>
          <w:color w:val="auto"/>
          <w:kern w:val="0"/>
          <w:sz w:val="32"/>
          <w:szCs w:val="32"/>
          <w:lang w:eastAsia="zh-CN"/>
        </w:rPr>
        <w:t>、云霁街（原楼西街）</w:t>
      </w:r>
      <w:r>
        <w:rPr>
          <w:rFonts w:hint="eastAsia" w:ascii="仿宋_GB2312" w:hAnsi="仿宋" w:eastAsia="仿宋_GB2312" w:cs="Tahoma"/>
          <w:color w:val="auto"/>
          <w:kern w:val="0"/>
          <w:sz w:val="32"/>
          <w:szCs w:val="32"/>
        </w:rPr>
        <w:t>主干道实际用于经营的一层一进住宅房的合法建筑(简易房除外)，有工商营业执照连续经营至今的，按经营性用房市场评估价的70%给予一次性货币补偿。其他合法建筑面积按住宅性质予以评估补偿。</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（2）对临</w:t>
      </w:r>
      <w:r>
        <w:rPr>
          <w:rFonts w:hint="eastAsia" w:ascii="仿宋_GB2312" w:hAnsi="仿宋" w:eastAsia="仿宋_GB2312" w:cs="Tahoma"/>
          <w:color w:val="auto"/>
          <w:kern w:val="0"/>
          <w:sz w:val="32"/>
          <w:szCs w:val="32"/>
          <w:lang w:eastAsia="zh-CN"/>
        </w:rPr>
        <w:t>永乐</w:t>
      </w:r>
      <w:r>
        <w:rPr>
          <w:rFonts w:hint="eastAsia" w:ascii="仿宋_GB2312" w:hAnsi="仿宋" w:eastAsia="仿宋_GB2312" w:cs="Tahoma"/>
          <w:color w:val="auto"/>
          <w:kern w:val="0"/>
          <w:sz w:val="32"/>
          <w:szCs w:val="32"/>
        </w:rPr>
        <w:t>路</w:t>
      </w:r>
      <w:r>
        <w:rPr>
          <w:rFonts w:hint="eastAsia" w:ascii="仿宋_GB2312" w:hAnsi="仿宋" w:eastAsia="仿宋_GB2312" w:cs="Tahoma"/>
          <w:color w:val="auto"/>
          <w:kern w:val="0"/>
          <w:sz w:val="32"/>
          <w:szCs w:val="32"/>
          <w:lang w:eastAsia="zh-CN"/>
        </w:rPr>
        <w:t>、云霁街（原楼西街）</w:t>
      </w:r>
      <w:r>
        <w:rPr>
          <w:rFonts w:hint="eastAsia" w:ascii="仿宋_GB2312" w:hAnsi="仿宋" w:eastAsia="仿宋_GB2312" w:cs="Tahoma"/>
          <w:color w:val="auto"/>
          <w:kern w:val="0"/>
          <w:sz w:val="32"/>
          <w:szCs w:val="32"/>
        </w:rPr>
        <w:t>主干道实际用于经营的一层一进住宅房合法建筑(简易房除外)，无工商营业执照连续经营至今的，按经营性用房市场评估价的65%给予一次性货币补偿。其他合法建筑面积按住宅性质予以评估补偿。</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（3）对临</w:t>
      </w:r>
      <w:r>
        <w:rPr>
          <w:rFonts w:hint="eastAsia" w:ascii="仿宋_GB2312" w:hAnsi="仿宋" w:eastAsia="仿宋_GB2312" w:cs="Tahoma"/>
          <w:color w:val="auto"/>
          <w:kern w:val="0"/>
          <w:sz w:val="32"/>
          <w:szCs w:val="32"/>
          <w:lang w:eastAsia="zh-CN"/>
        </w:rPr>
        <w:t>永乐</w:t>
      </w:r>
      <w:r>
        <w:rPr>
          <w:rFonts w:hint="eastAsia" w:ascii="仿宋_GB2312" w:hAnsi="仿宋" w:eastAsia="仿宋_GB2312" w:cs="Tahoma"/>
          <w:color w:val="auto"/>
          <w:kern w:val="0"/>
          <w:sz w:val="32"/>
          <w:szCs w:val="32"/>
        </w:rPr>
        <w:t>路</w:t>
      </w:r>
      <w:r>
        <w:rPr>
          <w:rFonts w:hint="eastAsia" w:ascii="仿宋_GB2312" w:hAnsi="仿宋" w:eastAsia="仿宋_GB2312" w:cs="Tahoma"/>
          <w:color w:val="auto"/>
          <w:kern w:val="0"/>
          <w:sz w:val="32"/>
          <w:szCs w:val="32"/>
          <w:lang w:eastAsia="zh-CN"/>
        </w:rPr>
        <w:t>、云霁街（原楼西街）</w:t>
      </w:r>
      <w:r>
        <w:rPr>
          <w:rFonts w:hint="eastAsia" w:ascii="仿宋_GB2312" w:hAnsi="仿宋" w:eastAsia="仿宋_GB2312" w:cs="Tahoma"/>
          <w:color w:val="auto"/>
          <w:kern w:val="0"/>
          <w:sz w:val="32"/>
          <w:szCs w:val="32"/>
        </w:rPr>
        <w:t>主干道一层一进住宅房合法建筑(简易房除外)，未经营的，按经营性用房市场评估价的60%给予一次性货币补偿。其他合法建筑面积按住宅性质予以评估补偿。</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rPr>
      </w:pPr>
      <w:r>
        <w:rPr>
          <w:rFonts w:hint="eastAsia" w:ascii="仿宋_GB2312" w:hAnsi="仿宋" w:eastAsia="仿宋_GB2312" w:cs="Tahoma"/>
          <w:color w:val="auto"/>
          <w:kern w:val="0"/>
          <w:sz w:val="32"/>
          <w:szCs w:val="32"/>
          <w:lang w:eastAsia="zh-CN"/>
        </w:rPr>
        <w:t>一层一进房屋奖励参照</w:t>
      </w:r>
      <w:r>
        <w:rPr>
          <w:rFonts w:hint="eastAsia" w:ascii="仿宋_GB2312" w:hAnsi="仿宋" w:eastAsia="仿宋_GB2312" w:cs="Tahoma"/>
          <w:color w:val="auto"/>
          <w:kern w:val="0"/>
          <w:sz w:val="32"/>
          <w:szCs w:val="32"/>
        </w:rPr>
        <w:t>商业非住宅用房</w:t>
      </w:r>
      <w:r>
        <w:rPr>
          <w:rFonts w:hint="eastAsia" w:ascii="仿宋_GB2312" w:hAnsi="仿宋" w:eastAsia="仿宋_GB2312" w:cs="Tahoma"/>
          <w:color w:val="auto"/>
          <w:kern w:val="0"/>
          <w:sz w:val="32"/>
          <w:szCs w:val="32"/>
          <w:lang w:eastAsia="zh-CN"/>
        </w:rPr>
        <w:t>政策执行。</w:t>
      </w:r>
      <w:r>
        <w:rPr>
          <w:rFonts w:hint="eastAsia" w:ascii="仿宋_GB2312" w:hAnsi="仿宋" w:eastAsia="仿宋_GB2312" w:cs="Tahoma"/>
          <w:color w:val="auto"/>
          <w:kern w:val="0"/>
          <w:sz w:val="32"/>
          <w:szCs w:val="32"/>
        </w:rPr>
        <w:t>在安置房源允许的情况下，可申请购买经营性安置房，购买经营用房面积按临主干道一层一进住宅房选择上靠一个户型，购买经营用房面积在应安置面积中扣除，扣完为止。</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（4）对于临</w:t>
      </w:r>
      <w:r>
        <w:rPr>
          <w:rFonts w:hint="eastAsia" w:ascii="仿宋_GB2312" w:hAnsi="仿宋" w:eastAsia="仿宋_GB2312" w:cs="Tahoma"/>
          <w:color w:val="auto"/>
          <w:kern w:val="0"/>
          <w:sz w:val="32"/>
          <w:szCs w:val="32"/>
          <w:lang w:eastAsia="zh-CN"/>
        </w:rPr>
        <w:t>清明北路、十八桥南路、南火巷</w:t>
      </w:r>
      <w:r>
        <w:rPr>
          <w:rFonts w:hint="eastAsia" w:ascii="仿宋_GB2312" w:hAnsi="仿宋" w:eastAsia="仿宋_GB2312" w:cs="Tahoma"/>
          <w:color w:val="auto"/>
          <w:kern w:val="0"/>
          <w:sz w:val="32"/>
          <w:szCs w:val="32"/>
        </w:rPr>
        <w:t>辅路实际用于经营的一层一进住宅房的合法建筑(简易房除外)。</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①自</w:t>
      </w:r>
      <w:r>
        <w:rPr>
          <w:rFonts w:hint="eastAsia" w:ascii="仿宋_GB2312" w:hAnsi="仿宋" w:eastAsia="仿宋_GB2312" w:cs="Tahoma"/>
          <w:color w:val="auto"/>
          <w:kern w:val="0"/>
          <w:sz w:val="32"/>
          <w:szCs w:val="32"/>
          <w:u w:val="single"/>
          <w:lang w:val="en-US" w:eastAsia="zh-CN"/>
        </w:rPr>
        <w:t xml:space="preserve">   </w:t>
      </w:r>
      <w:r>
        <w:rPr>
          <w:rFonts w:hint="eastAsia" w:ascii="仿宋_GB2312" w:hAnsi="仿宋" w:eastAsia="仿宋_GB2312" w:cs="Tahoma"/>
          <w:color w:val="auto"/>
          <w:kern w:val="0"/>
          <w:sz w:val="32"/>
          <w:szCs w:val="32"/>
          <w:u w:val="single"/>
        </w:rPr>
        <w:t>年</w:t>
      </w:r>
      <w:r>
        <w:rPr>
          <w:rFonts w:hint="eastAsia" w:ascii="仿宋_GB2312" w:hAnsi="仿宋" w:eastAsia="仿宋_GB2312" w:cs="Tahoma"/>
          <w:color w:val="auto"/>
          <w:kern w:val="0"/>
          <w:sz w:val="32"/>
          <w:szCs w:val="32"/>
          <w:u w:val="single"/>
          <w:lang w:val="en-US" w:eastAsia="zh-CN"/>
        </w:rPr>
        <w:t xml:space="preserve">   </w:t>
      </w:r>
      <w:r>
        <w:rPr>
          <w:rFonts w:hint="eastAsia" w:ascii="仿宋_GB2312" w:hAnsi="仿宋" w:eastAsia="仿宋_GB2312" w:cs="Tahoma"/>
          <w:color w:val="auto"/>
          <w:kern w:val="0"/>
          <w:sz w:val="32"/>
          <w:szCs w:val="32"/>
          <w:u w:val="single"/>
        </w:rPr>
        <w:t>月</w:t>
      </w:r>
      <w:r>
        <w:rPr>
          <w:rFonts w:hint="eastAsia" w:ascii="仿宋_GB2312" w:hAnsi="仿宋" w:eastAsia="仿宋_GB2312" w:cs="Tahoma"/>
          <w:color w:val="auto"/>
          <w:kern w:val="0"/>
          <w:sz w:val="32"/>
          <w:szCs w:val="32"/>
          <w:u w:val="single"/>
          <w:lang w:val="en-US" w:eastAsia="zh-CN"/>
        </w:rPr>
        <w:t xml:space="preserve">   </w:t>
      </w:r>
      <w:r>
        <w:rPr>
          <w:rFonts w:hint="eastAsia" w:ascii="仿宋_GB2312" w:hAnsi="仿宋" w:eastAsia="仿宋_GB2312" w:cs="Tahoma"/>
          <w:color w:val="auto"/>
          <w:kern w:val="0"/>
          <w:sz w:val="32"/>
          <w:szCs w:val="32"/>
        </w:rPr>
        <w:t>日征收方案（征求意见稿）发布之日起往前倒推，按规定的营业范围连续经营三年以上（包括三年）且有营业执照，签约期限内主动签订征收补偿安置协议的，给予3000元/㎡ 的奖励。</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②自</w:t>
      </w:r>
      <w:r>
        <w:rPr>
          <w:rFonts w:hint="eastAsia" w:ascii="仿宋_GB2312" w:hAnsi="仿宋" w:eastAsia="仿宋_GB2312" w:cs="Tahoma"/>
          <w:color w:val="auto"/>
          <w:kern w:val="0"/>
          <w:sz w:val="32"/>
          <w:szCs w:val="32"/>
          <w:u w:val="single"/>
          <w:lang w:val="en-US" w:eastAsia="zh-CN"/>
        </w:rPr>
        <w:t xml:space="preserve">   </w:t>
      </w:r>
      <w:r>
        <w:rPr>
          <w:rFonts w:hint="eastAsia" w:ascii="仿宋_GB2312" w:hAnsi="仿宋" w:eastAsia="仿宋_GB2312" w:cs="Tahoma"/>
          <w:color w:val="auto"/>
          <w:kern w:val="0"/>
          <w:sz w:val="32"/>
          <w:szCs w:val="32"/>
          <w:u w:val="single"/>
        </w:rPr>
        <w:t>年</w:t>
      </w:r>
      <w:r>
        <w:rPr>
          <w:rFonts w:hint="eastAsia" w:ascii="仿宋_GB2312" w:hAnsi="仿宋" w:eastAsia="仿宋_GB2312" w:cs="Tahoma"/>
          <w:color w:val="auto"/>
          <w:kern w:val="0"/>
          <w:sz w:val="32"/>
          <w:szCs w:val="32"/>
          <w:u w:val="single"/>
          <w:lang w:val="en-US" w:eastAsia="zh-CN"/>
        </w:rPr>
        <w:t xml:space="preserve">   </w:t>
      </w:r>
      <w:r>
        <w:rPr>
          <w:rFonts w:hint="eastAsia" w:ascii="仿宋_GB2312" w:hAnsi="仿宋" w:eastAsia="仿宋_GB2312" w:cs="Tahoma"/>
          <w:color w:val="auto"/>
          <w:kern w:val="0"/>
          <w:sz w:val="32"/>
          <w:szCs w:val="32"/>
          <w:u w:val="single"/>
        </w:rPr>
        <w:t>月</w:t>
      </w:r>
      <w:r>
        <w:rPr>
          <w:rFonts w:hint="eastAsia" w:ascii="仿宋_GB2312" w:hAnsi="仿宋" w:eastAsia="仿宋_GB2312" w:cs="Tahoma"/>
          <w:color w:val="auto"/>
          <w:kern w:val="0"/>
          <w:sz w:val="32"/>
          <w:szCs w:val="32"/>
          <w:u w:val="single"/>
          <w:lang w:val="en-US" w:eastAsia="zh-CN"/>
        </w:rPr>
        <w:t xml:space="preserve">   </w:t>
      </w:r>
      <w:r>
        <w:rPr>
          <w:rFonts w:hint="eastAsia" w:ascii="仿宋_GB2312" w:hAnsi="仿宋" w:eastAsia="仿宋_GB2312" w:cs="Tahoma"/>
          <w:color w:val="auto"/>
          <w:kern w:val="0"/>
          <w:sz w:val="32"/>
          <w:szCs w:val="32"/>
        </w:rPr>
        <w:t>日征收方案（征求意见稿）发布之日起往前倒推，按规定的营业范围连续经营不满三年且有营业执照，签约期限内主动签订征收补偿安置协议的，给予1500元/㎡的奖励。</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③自</w:t>
      </w:r>
      <w:r>
        <w:rPr>
          <w:rFonts w:hint="eastAsia" w:ascii="仿宋_GB2312" w:hAnsi="仿宋" w:eastAsia="仿宋_GB2312" w:cs="Tahoma"/>
          <w:color w:val="auto"/>
          <w:kern w:val="0"/>
          <w:sz w:val="32"/>
          <w:szCs w:val="32"/>
          <w:u w:val="single"/>
          <w:lang w:val="en-US" w:eastAsia="zh-CN"/>
        </w:rPr>
        <w:t xml:space="preserve">   </w:t>
      </w:r>
      <w:r>
        <w:rPr>
          <w:rFonts w:hint="eastAsia" w:ascii="仿宋_GB2312" w:hAnsi="仿宋" w:eastAsia="仿宋_GB2312" w:cs="Tahoma"/>
          <w:color w:val="auto"/>
          <w:kern w:val="0"/>
          <w:sz w:val="32"/>
          <w:szCs w:val="32"/>
          <w:u w:val="single"/>
        </w:rPr>
        <w:t>年</w:t>
      </w:r>
      <w:r>
        <w:rPr>
          <w:rFonts w:hint="eastAsia" w:ascii="仿宋_GB2312" w:hAnsi="仿宋" w:eastAsia="仿宋_GB2312" w:cs="Tahoma"/>
          <w:color w:val="auto"/>
          <w:kern w:val="0"/>
          <w:sz w:val="32"/>
          <w:szCs w:val="32"/>
          <w:u w:val="single"/>
          <w:lang w:val="en-US" w:eastAsia="zh-CN"/>
        </w:rPr>
        <w:t xml:space="preserve">   </w:t>
      </w:r>
      <w:r>
        <w:rPr>
          <w:rFonts w:hint="eastAsia" w:ascii="仿宋_GB2312" w:hAnsi="仿宋" w:eastAsia="仿宋_GB2312" w:cs="Tahoma"/>
          <w:color w:val="auto"/>
          <w:kern w:val="0"/>
          <w:sz w:val="32"/>
          <w:szCs w:val="32"/>
          <w:u w:val="single"/>
        </w:rPr>
        <w:t>月</w:t>
      </w:r>
      <w:r>
        <w:rPr>
          <w:rFonts w:hint="eastAsia" w:ascii="仿宋_GB2312" w:hAnsi="仿宋" w:eastAsia="仿宋_GB2312" w:cs="Tahoma"/>
          <w:color w:val="auto"/>
          <w:kern w:val="0"/>
          <w:sz w:val="32"/>
          <w:szCs w:val="32"/>
          <w:u w:val="single"/>
          <w:lang w:val="en-US" w:eastAsia="zh-CN"/>
        </w:rPr>
        <w:t xml:space="preserve">   </w:t>
      </w:r>
      <w:r>
        <w:rPr>
          <w:rFonts w:hint="eastAsia" w:ascii="仿宋_GB2312" w:hAnsi="仿宋" w:eastAsia="仿宋_GB2312" w:cs="Tahoma"/>
          <w:color w:val="auto"/>
          <w:kern w:val="0"/>
          <w:sz w:val="32"/>
          <w:szCs w:val="32"/>
        </w:rPr>
        <w:t>日征收方案（征求意见稿）发布之日起往前倒推，房屋用于经营无营业执照，签约期限内主动签订征收补偿安置协议的，给予500元/㎡的奖励。</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黑体" w:hAnsi="仿宋" w:eastAsia="黑体" w:cs="Tahoma"/>
          <w:color w:val="auto"/>
          <w:kern w:val="0"/>
          <w:sz w:val="32"/>
          <w:szCs w:val="32"/>
        </w:rPr>
      </w:pPr>
      <w:r>
        <w:rPr>
          <w:rFonts w:hint="eastAsia" w:ascii="黑体" w:hAnsi="仿宋" w:eastAsia="黑体" w:cs="Tahoma"/>
          <w:bCs/>
          <w:color w:val="auto"/>
          <w:kern w:val="0"/>
          <w:sz w:val="32"/>
          <w:szCs w:val="32"/>
        </w:rPr>
        <w:t>七</w:t>
      </w:r>
      <w:r>
        <w:rPr>
          <w:rFonts w:hint="eastAsia" w:ascii="黑体" w:hAnsi="仿宋" w:eastAsia="黑体" w:cs="Tahoma"/>
          <w:color w:val="auto"/>
          <w:kern w:val="0"/>
          <w:sz w:val="32"/>
          <w:szCs w:val="32"/>
        </w:rPr>
        <w:t>、签约期限</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color w:val="auto"/>
          <w:kern w:val="0"/>
          <w:sz w:val="32"/>
          <w:szCs w:val="32"/>
        </w:rPr>
      </w:pPr>
      <w:r>
        <w:rPr>
          <w:rFonts w:hint="eastAsia" w:ascii="仿宋_GB2312" w:hAnsi="仿宋" w:eastAsia="仿宋_GB2312" w:cs="Tahoma"/>
          <w:color w:val="auto"/>
          <w:kern w:val="0"/>
          <w:sz w:val="32"/>
          <w:szCs w:val="32"/>
        </w:rPr>
        <w:t>自评估结果公示期限届满之日起30日内。</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八、优惠政策及奖励、补助</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楷体_GB2312" w:hAnsi="楷体" w:eastAsia="楷体_GB2312" w:cs="楷体"/>
          <w:bCs/>
          <w:color w:val="auto"/>
          <w:sz w:val="32"/>
          <w:szCs w:val="32"/>
        </w:rPr>
      </w:pPr>
      <w:r>
        <w:rPr>
          <w:rFonts w:hint="eastAsia" w:ascii="楷体_GB2312" w:hAnsi="楷体" w:eastAsia="楷体_GB2312" w:cs="楷体"/>
          <w:bCs/>
          <w:color w:val="auto"/>
          <w:sz w:val="32"/>
          <w:szCs w:val="32"/>
        </w:rPr>
        <w:t>（一）搬迁费</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b/>
          <w:bCs/>
          <w:color w:val="auto"/>
          <w:kern w:val="0"/>
          <w:sz w:val="32"/>
          <w:szCs w:val="32"/>
        </w:rPr>
      </w:pPr>
      <w:r>
        <w:rPr>
          <w:rFonts w:hint="eastAsia" w:ascii="仿宋_GB2312" w:hAnsi="仿宋" w:eastAsia="仿宋_GB2312" w:cs="Tahoma"/>
          <w:bCs/>
          <w:color w:val="auto"/>
          <w:kern w:val="0"/>
          <w:sz w:val="32"/>
          <w:szCs w:val="32"/>
        </w:rPr>
        <w:t>因征收房屋造成搬迁的，按照</w:t>
      </w:r>
      <w:r>
        <w:rPr>
          <w:rFonts w:hint="eastAsia" w:ascii="仿宋_GB2312" w:hAnsi="仿宋" w:eastAsia="仿宋_GB2312" w:cs="Tahoma"/>
          <w:bCs/>
          <w:color w:val="auto"/>
          <w:kern w:val="0"/>
          <w:sz w:val="32"/>
          <w:szCs w:val="32"/>
          <w:highlight w:val="none"/>
          <w:lang w:eastAsia="zh-CN"/>
        </w:rPr>
        <w:t>被征收房屋合法建筑面积</w:t>
      </w:r>
      <w:r>
        <w:rPr>
          <w:rFonts w:hint="eastAsia" w:ascii="仿宋_GB2312" w:hAnsi="仿宋" w:eastAsia="仿宋_GB2312" w:cs="Tahoma"/>
          <w:bCs/>
          <w:color w:val="auto"/>
          <w:kern w:val="0"/>
          <w:sz w:val="32"/>
          <w:szCs w:val="32"/>
        </w:rPr>
        <w:t>6元/</w:t>
      </w:r>
      <w:r>
        <w:rPr>
          <w:rFonts w:hint="eastAsia" w:ascii="宋体" w:hAnsi="宋体" w:cs="Tahoma"/>
          <w:bCs/>
          <w:color w:val="auto"/>
          <w:kern w:val="0"/>
          <w:sz w:val="32"/>
          <w:szCs w:val="32"/>
        </w:rPr>
        <w:t>㎡</w:t>
      </w:r>
      <w:r>
        <w:rPr>
          <w:rFonts w:hint="eastAsia" w:ascii="仿宋_GB2312" w:hAnsi="仿宋" w:eastAsia="仿宋_GB2312" w:cs="Tahoma"/>
          <w:bCs/>
          <w:color w:val="auto"/>
          <w:kern w:val="0"/>
          <w:sz w:val="32"/>
          <w:szCs w:val="32"/>
        </w:rPr>
        <w:t>计算，向被征收人支付两次搬迁费，每次搬迁费补偿不足</w:t>
      </w:r>
      <w:r>
        <w:rPr>
          <w:rFonts w:hint="eastAsia" w:ascii="仿宋_GB2312" w:hAnsi="Tahoma" w:eastAsia="仿宋_GB2312" w:cs="Tahoma"/>
          <w:bCs/>
          <w:color w:val="auto"/>
          <w:kern w:val="0"/>
          <w:sz w:val="32"/>
          <w:szCs w:val="32"/>
        </w:rPr>
        <w:t>800</w:t>
      </w:r>
      <w:r>
        <w:rPr>
          <w:rFonts w:hint="eastAsia" w:ascii="仿宋_GB2312" w:hAnsi="仿宋" w:eastAsia="仿宋_GB2312" w:cs="Tahoma"/>
          <w:bCs/>
          <w:color w:val="auto"/>
          <w:kern w:val="0"/>
          <w:sz w:val="32"/>
          <w:szCs w:val="32"/>
        </w:rPr>
        <w:t>元的按</w:t>
      </w:r>
      <w:r>
        <w:rPr>
          <w:rFonts w:hint="eastAsia" w:ascii="仿宋_GB2312" w:hAnsi="Tahoma" w:eastAsia="仿宋_GB2312" w:cs="Tahoma"/>
          <w:bCs/>
          <w:color w:val="auto"/>
          <w:kern w:val="0"/>
          <w:sz w:val="32"/>
          <w:szCs w:val="32"/>
        </w:rPr>
        <w:t>800</w:t>
      </w:r>
      <w:r>
        <w:rPr>
          <w:rFonts w:hint="eastAsia" w:ascii="仿宋_GB2312" w:hAnsi="仿宋" w:eastAsia="仿宋_GB2312" w:cs="Tahoma"/>
          <w:bCs/>
          <w:color w:val="auto"/>
          <w:kern w:val="0"/>
          <w:sz w:val="32"/>
          <w:szCs w:val="32"/>
        </w:rPr>
        <w:t>元计算。</w:t>
      </w:r>
    </w:p>
    <w:p>
      <w:pPr>
        <w:keepNext w:val="0"/>
        <w:keepLines w:val="0"/>
        <w:pageBreakBefore w:val="0"/>
        <w:widowControl/>
        <w:kinsoku/>
        <w:wordWrap/>
        <w:overflowPunct/>
        <w:topLinePunct w:val="0"/>
        <w:autoSpaceDE/>
        <w:autoSpaceDN/>
        <w:bidi w:val="0"/>
        <w:spacing w:line="500" w:lineRule="exact"/>
        <w:ind w:firstLine="640" w:firstLineChars="200"/>
        <w:textAlignment w:val="auto"/>
        <w:rPr>
          <w:rFonts w:hint="eastAsia" w:ascii="仿宋_GB2312" w:hAnsi="Tahoma" w:eastAsia="仿宋_GB2312" w:cs="Tahoma"/>
          <w:bCs/>
          <w:color w:val="auto"/>
          <w:kern w:val="0"/>
          <w:sz w:val="32"/>
          <w:szCs w:val="32"/>
        </w:rPr>
      </w:pPr>
      <w:r>
        <w:rPr>
          <w:rFonts w:hint="eastAsia" w:ascii="仿宋_GB2312" w:hAnsi="仿宋" w:eastAsia="仿宋_GB2312" w:cs="Tahoma"/>
          <w:bCs/>
          <w:color w:val="auto"/>
          <w:kern w:val="0"/>
          <w:sz w:val="32"/>
          <w:szCs w:val="32"/>
        </w:rPr>
        <w:t>征收设备拆装类房屋，征收人应当根据设备拆装、运输等评估确定的金额支付被征收人搬迁费。无法恢复使用的设备、设施，征收人按照重置价格结合成新评估确定的金额给予被征收人补偿。</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楷体_GB2312" w:hAnsi="楷体" w:eastAsia="楷体_GB2312" w:cs="楷体"/>
          <w:bCs/>
          <w:color w:val="auto"/>
          <w:sz w:val="32"/>
          <w:szCs w:val="32"/>
        </w:rPr>
      </w:pPr>
      <w:r>
        <w:rPr>
          <w:rFonts w:hint="eastAsia" w:ascii="楷体_GB2312" w:hAnsi="楷体" w:eastAsia="楷体_GB2312" w:cs="楷体"/>
          <w:bCs/>
          <w:color w:val="auto"/>
          <w:sz w:val="32"/>
          <w:szCs w:val="32"/>
        </w:rPr>
        <w:t>（二）临时安置过渡费</w:t>
      </w:r>
    </w:p>
    <w:p>
      <w:pPr>
        <w:keepNext w:val="0"/>
        <w:keepLines w:val="0"/>
        <w:pageBreakBefore w:val="0"/>
        <w:widowControl/>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临时安置过渡费按</w:t>
      </w:r>
      <w:r>
        <w:rPr>
          <w:rFonts w:hint="eastAsia" w:ascii="仿宋_GB2312" w:hAnsi="仿宋" w:eastAsia="仿宋_GB2312" w:cs="Tahoma"/>
          <w:bCs/>
          <w:color w:val="auto"/>
          <w:kern w:val="0"/>
          <w:sz w:val="32"/>
          <w:szCs w:val="32"/>
          <w:highlight w:val="none"/>
          <w:lang w:eastAsia="zh-CN"/>
        </w:rPr>
        <w:t>被征收房屋合法建筑面积</w:t>
      </w:r>
      <w:r>
        <w:rPr>
          <w:rFonts w:hint="eastAsia" w:ascii="仿宋_GB2312" w:hAnsi="仿宋" w:eastAsia="仿宋_GB2312" w:cs="Tahoma"/>
          <w:bCs/>
          <w:color w:val="auto"/>
          <w:kern w:val="0"/>
          <w:sz w:val="32"/>
          <w:szCs w:val="32"/>
        </w:rPr>
        <w:t>10元/</w:t>
      </w:r>
      <w:r>
        <w:rPr>
          <w:rFonts w:hint="eastAsia" w:ascii="宋体" w:hAnsi="宋体"/>
          <w:color w:val="auto"/>
          <w:sz w:val="32"/>
          <w:szCs w:val="32"/>
        </w:rPr>
        <w:t>㎡·</w:t>
      </w:r>
      <w:r>
        <w:rPr>
          <w:rFonts w:hint="eastAsia" w:ascii="仿宋_GB2312" w:hAnsi="仿宋" w:eastAsia="仿宋_GB2312" w:cs="Tahoma"/>
          <w:bCs/>
          <w:color w:val="auto"/>
          <w:kern w:val="0"/>
          <w:sz w:val="32"/>
          <w:szCs w:val="32"/>
        </w:rPr>
        <w:t>月计算。</w:t>
      </w:r>
    </w:p>
    <w:p>
      <w:pPr>
        <w:keepNext w:val="0"/>
        <w:keepLines w:val="0"/>
        <w:pageBreakBefore w:val="0"/>
        <w:widowControl/>
        <w:kinsoku/>
        <w:wordWrap/>
        <w:overflowPunct/>
        <w:topLinePunct w:val="0"/>
        <w:autoSpaceDE/>
        <w:autoSpaceDN/>
        <w:bidi w:val="0"/>
        <w:spacing w:line="500" w:lineRule="exact"/>
        <w:ind w:firstLine="640" w:firstLineChars="200"/>
        <w:textAlignment w:val="auto"/>
        <w:rPr>
          <w:rFonts w:hint="eastAsia" w:ascii="仿宋_GB2312" w:hAnsi="Tahoma" w:eastAsia="仿宋_GB2312" w:cs="Tahoma"/>
          <w:bCs/>
          <w:color w:val="auto"/>
          <w:kern w:val="0"/>
          <w:sz w:val="32"/>
          <w:szCs w:val="32"/>
        </w:rPr>
      </w:pPr>
      <w:r>
        <w:rPr>
          <w:rFonts w:hint="eastAsia" w:ascii="仿宋_GB2312" w:hAnsi="仿宋" w:eastAsia="仿宋_GB2312" w:cs="Tahoma"/>
          <w:bCs/>
          <w:color w:val="auto"/>
          <w:kern w:val="0"/>
          <w:sz w:val="32"/>
          <w:szCs w:val="32"/>
        </w:rPr>
        <w:t>选择货币补偿的，向被征收人一次性支付</w:t>
      </w:r>
      <w:r>
        <w:rPr>
          <w:rFonts w:hint="eastAsia" w:ascii="仿宋_GB2312" w:hAnsi="Tahoma" w:eastAsia="仿宋_GB2312" w:cs="Tahoma"/>
          <w:bCs/>
          <w:color w:val="auto"/>
          <w:kern w:val="0"/>
          <w:sz w:val="32"/>
          <w:szCs w:val="32"/>
        </w:rPr>
        <w:t>6</w:t>
      </w:r>
      <w:r>
        <w:rPr>
          <w:rFonts w:hint="eastAsia" w:ascii="仿宋_GB2312" w:hAnsi="仿宋" w:eastAsia="仿宋_GB2312" w:cs="Tahoma"/>
          <w:bCs/>
          <w:color w:val="auto"/>
          <w:kern w:val="0"/>
          <w:sz w:val="32"/>
          <w:szCs w:val="32"/>
        </w:rPr>
        <w:t>个月临时安置过渡费；</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选择房屋产权调换的，被征收人选择现房安置的，支付</w:t>
      </w:r>
      <w:r>
        <w:rPr>
          <w:rFonts w:hint="eastAsia" w:ascii="仿宋_GB2312" w:hAnsi="仿宋" w:eastAsia="仿宋_GB2312" w:cs="Tahoma"/>
          <w:bCs/>
          <w:color w:val="auto"/>
          <w:kern w:val="0"/>
          <w:sz w:val="32"/>
          <w:szCs w:val="32"/>
          <w:lang w:eastAsia="zh-CN"/>
        </w:rPr>
        <w:t>三</w:t>
      </w:r>
      <w:r>
        <w:rPr>
          <w:rFonts w:hint="eastAsia" w:ascii="仿宋_GB2312" w:hAnsi="仿宋" w:eastAsia="仿宋_GB2312" w:cs="Tahoma"/>
          <w:bCs/>
          <w:color w:val="auto"/>
          <w:kern w:val="0"/>
          <w:sz w:val="32"/>
          <w:szCs w:val="32"/>
        </w:rPr>
        <w:t>个月临时安置过渡费；被征收人选择期房安置的，自行解决周转用房，临时安置过渡费支付至安置房屋交付后</w:t>
      </w:r>
      <w:r>
        <w:rPr>
          <w:rFonts w:hint="eastAsia" w:ascii="仿宋_GB2312" w:hAnsi="仿宋" w:eastAsia="仿宋_GB2312" w:cs="Tahoma"/>
          <w:bCs/>
          <w:color w:val="auto"/>
          <w:kern w:val="0"/>
          <w:sz w:val="32"/>
          <w:szCs w:val="32"/>
          <w:lang w:eastAsia="zh-CN"/>
        </w:rPr>
        <w:t>三</w:t>
      </w:r>
      <w:r>
        <w:rPr>
          <w:rFonts w:hint="eastAsia" w:ascii="仿宋_GB2312" w:hAnsi="仿宋" w:eastAsia="仿宋_GB2312" w:cs="Tahoma"/>
          <w:bCs/>
          <w:color w:val="auto"/>
          <w:kern w:val="0"/>
          <w:sz w:val="32"/>
          <w:szCs w:val="32"/>
        </w:rPr>
        <w:t>个月为止。</w:t>
      </w:r>
    </w:p>
    <w:p>
      <w:pPr>
        <w:keepNext w:val="0"/>
        <w:keepLines w:val="0"/>
        <w:pageBreakBefore w:val="0"/>
        <w:widowControl/>
        <w:kinsoku/>
        <w:wordWrap/>
        <w:overflowPunct/>
        <w:topLinePunct w:val="0"/>
        <w:autoSpaceDE/>
        <w:autoSpaceDN/>
        <w:bidi w:val="0"/>
        <w:spacing w:line="50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产权调换房屋面积小于被征收房屋有效建筑面积的，放弃产权调换部分按货币补偿标准执行</w:t>
      </w:r>
      <w:r>
        <w:rPr>
          <w:rFonts w:hint="eastAsia" w:ascii="仿宋_GB2312" w:eastAsia="仿宋_GB2312"/>
          <w:color w:val="auto"/>
          <w:sz w:val="32"/>
          <w:szCs w:val="32"/>
          <w:lang w:eastAsia="zh-CN"/>
        </w:rPr>
        <w:t>，</w:t>
      </w:r>
      <w:r>
        <w:rPr>
          <w:rFonts w:hint="eastAsia" w:ascii="仿宋_GB2312" w:hAnsi="仿宋" w:eastAsia="仿宋_GB2312" w:cs="Tahoma"/>
          <w:bCs/>
          <w:color w:val="auto"/>
          <w:kern w:val="0"/>
          <w:sz w:val="32"/>
          <w:szCs w:val="32"/>
          <w:highlight w:val="none"/>
        </w:rPr>
        <w:t>给予</w:t>
      </w:r>
      <w:r>
        <w:rPr>
          <w:rFonts w:hint="eastAsia" w:ascii="仿宋_GB2312" w:hAnsi="Tahoma" w:eastAsia="仿宋_GB2312" w:cs="Tahoma"/>
          <w:bCs/>
          <w:color w:val="auto"/>
          <w:kern w:val="0"/>
          <w:sz w:val="32"/>
          <w:szCs w:val="32"/>
          <w:highlight w:val="none"/>
        </w:rPr>
        <w:t>6</w:t>
      </w:r>
      <w:r>
        <w:rPr>
          <w:rFonts w:hint="eastAsia" w:ascii="仿宋_GB2312" w:hAnsi="仿宋" w:eastAsia="仿宋_GB2312" w:cs="Tahoma"/>
          <w:bCs/>
          <w:color w:val="auto"/>
          <w:kern w:val="0"/>
          <w:sz w:val="32"/>
          <w:szCs w:val="32"/>
          <w:highlight w:val="none"/>
        </w:rPr>
        <w:t>个月临时安置过渡费，其余部分按产权调换的相关规定计算。</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过渡期自被征收人腾空交付房屋之日起计算。</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楷体_GB2312" w:hAnsi="楷体" w:eastAsia="楷体_GB2312" w:cs="楷体"/>
          <w:bCs/>
          <w:color w:val="auto"/>
          <w:sz w:val="32"/>
          <w:szCs w:val="32"/>
        </w:rPr>
      </w:pPr>
      <w:r>
        <w:rPr>
          <w:rFonts w:hint="eastAsia" w:ascii="楷体_GB2312" w:hAnsi="楷体" w:eastAsia="楷体_GB2312" w:cs="楷体"/>
          <w:bCs/>
          <w:color w:val="auto"/>
          <w:sz w:val="32"/>
          <w:szCs w:val="32"/>
        </w:rPr>
        <w:t>（三）院落和公摊面积补偿。庭院式住房根据房屋容积率给予适当补偿</w:t>
      </w:r>
      <w:r>
        <w:rPr>
          <w:rFonts w:hint="eastAsia" w:ascii="楷体_GB2312" w:hAnsi="楷体" w:eastAsia="楷体_GB2312" w:cs="楷体"/>
          <w:bCs/>
          <w:color w:val="auto"/>
          <w:sz w:val="32"/>
          <w:szCs w:val="32"/>
          <w:lang w:eastAsia="zh-CN"/>
        </w:rPr>
        <w:t>（</w:t>
      </w:r>
      <w:r>
        <w:rPr>
          <w:rFonts w:hint="eastAsia" w:ascii="楷体_GB2312" w:hAnsi="楷体" w:eastAsia="楷体_GB2312" w:cs="楷体"/>
          <w:bCs/>
          <w:color w:val="auto"/>
          <w:sz w:val="32"/>
          <w:szCs w:val="32"/>
        </w:rPr>
        <w:t>房屋容积率1.8作为基准系数1，平均每下降0.05个点，系数增加0.01，当容积率为0.5时，修正系数为1.2</w:t>
      </w:r>
      <w:r>
        <w:rPr>
          <w:rFonts w:hint="eastAsia" w:ascii="楷体_GB2312" w:hAnsi="楷体" w:eastAsia="楷体_GB2312" w:cs="楷体"/>
          <w:bCs/>
          <w:color w:val="auto"/>
          <w:sz w:val="32"/>
          <w:szCs w:val="32"/>
          <w:lang w:val="en-US" w:eastAsia="zh-CN"/>
        </w:rPr>
        <w:t>6</w:t>
      </w:r>
      <w:r>
        <w:rPr>
          <w:rFonts w:hint="eastAsia" w:ascii="楷体_GB2312" w:hAnsi="楷体" w:eastAsia="楷体_GB2312" w:cs="楷体"/>
          <w:bCs/>
          <w:color w:val="auto"/>
          <w:sz w:val="32"/>
          <w:szCs w:val="32"/>
        </w:rPr>
        <w:t>，并到此截止</w:t>
      </w:r>
      <w:r>
        <w:rPr>
          <w:rFonts w:hint="eastAsia" w:ascii="楷体_GB2312" w:hAnsi="楷体" w:eastAsia="楷体_GB2312" w:cs="楷体"/>
          <w:bCs/>
          <w:color w:val="auto"/>
          <w:sz w:val="32"/>
          <w:szCs w:val="32"/>
          <w:lang w:eastAsia="zh-CN"/>
        </w:rPr>
        <w:t>）</w:t>
      </w:r>
      <w:r>
        <w:rPr>
          <w:rFonts w:hint="eastAsia" w:ascii="楷体_GB2312" w:hAnsi="楷体" w:eastAsia="楷体_GB2312" w:cs="楷体"/>
          <w:bCs/>
          <w:color w:val="auto"/>
          <w:sz w:val="32"/>
          <w:szCs w:val="32"/>
        </w:rPr>
        <w:t>；单元式住房在征收测绘时，直接计算公摊面积给予评估补偿。</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楷体_GB2312" w:hAnsi="楷体" w:eastAsia="楷体_GB2312" w:cs="楷体"/>
          <w:bCs/>
          <w:color w:val="auto"/>
          <w:sz w:val="32"/>
          <w:szCs w:val="32"/>
        </w:rPr>
      </w:pPr>
      <w:r>
        <w:rPr>
          <w:rFonts w:hint="eastAsia" w:ascii="楷体_GB2312" w:hAnsi="楷体" w:eastAsia="楷体_GB2312" w:cs="楷体"/>
          <w:bCs/>
          <w:color w:val="auto"/>
          <w:sz w:val="32"/>
          <w:szCs w:val="32"/>
        </w:rPr>
        <w:t>（四）征收老红军、离休干部及其</w:t>
      </w:r>
      <w:r>
        <w:rPr>
          <w:rFonts w:hint="eastAsia" w:ascii="楷体_GB2312" w:hAnsi="楷体" w:eastAsia="楷体_GB2312" w:cs="楷体"/>
          <w:bCs/>
          <w:color w:val="auto"/>
          <w:sz w:val="32"/>
          <w:szCs w:val="32"/>
          <w:lang w:eastAsia="zh-CN"/>
        </w:rPr>
        <w:t>配偶</w:t>
      </w:r>
      <w:bookmarkStart w:id="0" w:name="_GoBack"/>
      <w:bookmarkEnd w:id="0"/>
      <w:r>
        <w:rPr>
          <w:rFonts w:hint="eastAsia" w:ascii="楷体_GB2312" w:hAnsi="楷体" w:eastAsia="楷体_GB2312" w:cs="楷体"/>
          <w:bCs/>
          <w:color w:val="auto"/>
          <w:sz w:val="32"/>
          <w:szCs w:val="32"/>
        </w:rPr>
        <w:t>产权的房屋，提供相关证明，给予被征收房屋评估总价20%的补助，此政策不得重复享受。</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楷体_GB2312" w:hAnsi="楷体" w:eastAsia="楷体_GB2312" w:cs="楷体"/>
          <w:bCs/>
          <w:color w:val="auto"/>
          <w:sz w:val="32"/>
          <w:szCs w:val="32"/>
        </w:rPr>
      </w:pPr>
      <w:r>
        <w:rPr>
          <w:rFonts w:hint="eastAsia" w:ascii="楷体_GB2312" w:hAnsi="楷体" w:eastAsia="楷体_GB2312" w:cs="楷体"/>
          <w:bCs/>
          <w:color w:val="auto"/>
          <w:sz w:val="32"/>
          <w:szCs w:val="32"/>
        </w:rPr>
        <w:t>（五）征收出租（出借）的住宅房屋或非住宅房，</w:t>
      </w:r>
      <w:r>
        <w:rPr>
          <w:rFonts w:hint="eastAsia" w:ascii="楷体_GB2312" w:hAnsi="楷体" w:eastAsia="楷体_GB2312" w:cs="楷体"/>
          <w:bCs/>
          <w:color w:val="auto"/>
          <w:sz w:val="32"/>
          <w:szCs w:val="32"/>
          <w:lang w:eastAsia="zh-CN"/>
        </w:rPr>
        <w:t>原则上</w:t>
      </w:r>
      <w:r>
        <w:rPr>
          <w:rFonts w:hint="eastAsia" w:ascii="楷体_GB2312" w:hAnsi="楷体" w:eastAsia="楷体_GB2312" w:cs="楷体"/>
          <w:bCs/>
          <w:color w:val="auto"/>
          <w:sz w:val="32"/>
          <w:szCs w:val="32"/>
        </w:rPr>
        <w:t>对承租使用人不予安置和补偿，由房屋所有人自行处理租赁关系。</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楷体_GB2312" w:hAnsi="楷体" w:eastAsia="楷体_GB2312" w:cs="楷体"/>
          <w:bCs/>
          <w:color w:val="auto"/>
          <w:sz w:val="32"/>
          <w:szCs w:val="32"/>
        </w:rPr>
      </w:pPr>
      <w:r>
        <w:rPr>
          <w:rFonts w:hint="eastAsia" w:ascii="楷体_GB2312" w:hAnsi="楷体" w:eastAsia="楷体_GB2312" w:cs="楷体"/>
          <w:bCs/>
          <w:color w:val="auto"/>
          <w:sz w:val="32"/>
          <w:szCs w:val="32"/>
        </w:rPr>
        <w:t>（六）为了鼓励被征收人在政府征收决定规定期限内积极签约并搬迁交房，另行给予奖励。</w:t>
      </w:r>
    </w:p>
    <w:p>
      <w:pPr>
        <w:keepNext w:val="0"/>
        <w:keepLines w:val="0"/>
        <w:pageBreakBefore w:val="0"/>
        <w:widowControl/>
        <w:tabs>
          <w:tab w:val="left" w:pos="720"/>
        </w:tabs>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 w:eastAsia="仿宋_GB2312" w:cs="Tahoma"/>
          <w:bCs/>
          <w:color w:val="auto"/>
          <w:kern w:val="0"/>
          <w:sz w:val="32"/>
          <w:szCs w:val="32"/>
        </w:rPr>
        <w:t>奖励期限分三个时段：第一时段自评估结果公示结束之日起至第10日每户奖励10000元；第二阶段第11日至第20日每户奖励8000元；第三阶段第21日至第30日每户奖励6000元。</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九、依法征收</w:t>
      </w:r>
    </w:p>
    <w:p>
      <w:pPr>
        <w:keepNext w:val="0"/>
        <w:keepLines w:val="0"/>
        <w:pageBreakBefore w:val="0"/>
        <w:widowControl/>
        <w:kinsoku/>
        <w:wordWrap/>
        <w:overflowPunct/>
        <w:topLinePunct w:val="0"/>
        <w:autoSpaceDE/>
        <w:autoSpaceDN/>
        <w:bidi w:val="0"/>
        <w:spacing w:line="500" w:lineRule="exact"/>
        <w:ind w:firstLine="640" w:firstLineChars="200"/>
        <w:textAlignment w:val="auto"/>
        <w:rPr>
          <w:rFonts w:hint="eastAsia" w:ascii="仿宋_GB2312" w:hAnsi="Tahoma" w:eastAsia="仿宋_GB2312" w:cs="Tahoma"/>
          <w:bCs/>
          <w:color w:val="auto"/>
          <w:kern w:val="0"/>
          <w:sz w:val="32"/>
          <w:szCs w:val="32"/>
        </w:rPr>
      </w:pPr>
      <w:r>
        <w:rPr>
          <w:rFonts w:hint="eastAsia" w:ascii="仿宋_GB2312" w:hAnsi="仿宋" w:eastAsia="仿宋_GB2312" w:cs="Tahoma"/>
          <w:bCs/>
          <w:color w:val="auto"/>
          <w:kern w:val="0"/>
          <w:sz w:val="32"/>
          <w:szCs w:val="32"/>
        </w:rPr>
        <w:t>房屋征收部门与被征收人在县人民政府发布征收决定确定的签约期限内达不成补偿协议，或者被征收房屋所有权人不明确的，由房屋征收部门报请县人民政府，按照征收补偿方案作出补偿决定，并在房屋征收范围内予以公告。</w:t>
      </w:r>
    </w:p>
    <w:p>
      <w:pPr>
        <w:keepNext w:val="0"/>
        <w:keepLines w:val="0"/>
        <w:pageBreakBefore w:val="0"/>
        <w:kinsoku/>
        <w:wordWrap/>
        <w:overflowPunct/>
        <w:topLinePunct w:val="0"/>
        <w:autoSpaceDE/>
        <w:autoSpaceDN/>
        <w:bidi w:val="0"/>
        <w:spacing w:line="500" w:lineRule="exact"/>
        <w:ind w:firstLine="640" w:firstLineChars="200"/>
        <w:textAlignment w:val="auto"/>
        <w:rPr>
          <w:color w:val="auto"/>
        </w:rPr>
      </w:pPr>
      <w:r>
        <w:rPr>
          <w:rFonts w:hint="eastAsia" w:ascii="仿宋_GB2312" w:hAnsi="仿宋" w:eastAsia="仿宋_GB2312" w:cs="Tahoma"/>
          <w:bCs/>
          <w:color w:val="auto"/>
          <w:kern w:val="0"/>
          <w:sz w:val="32"/>
          <w:szCs w:val="32"/>
        </w:rPr>
        <w:t>被征收人对补偿决定不服的，可以依法申请行政复议，也可以依法提起行政诉讼。</w:t>
      </w:r>
    </w:p>
    <w:p>
      <w:pPr>
        <w:keepNext w:val="0"/>
        <w:keepLines w:val="0"/>
        <w:pageBreakBefore w:val="0"/>
        <w:widowControl/>
        <w:kinsoku/>
        <w:wordWrap/>
        <w:overflowPunct/>
        <w:topLinePunct w:val="0"/>
        <w:autoSpaceDE/>
        <w:autoSpaceDN/>
        <w:bidi w:val="0"/>
        <w:spacing w:line="500" w:lineRule="exact"/>
        <w:ind w:firstLine="640" w:firstLineChars="200"/>
        <w:textAlignment w:val="auto"/>
        <w:rPr>
          <w:rFonts w:hint="eastAsia" w:ascii="仿宋_GB2312" w:hAnsi="仿宋" w:eastAsia="仿宋_GB2312" w:cs="Tahoma"/>
          <w:bCs/>
          <w:color w:val="auto"/>
          <w:kern w:val="0"/>
          <w:sz w:val="32"/>
          <w:szCs w:val="32"/>
        </w:rPr>
      </w:pPr>
      <w:r>
        <w:rPr>
          <w:rFonts w:hint="eastAsia" w:ascii="仿宋_GB2312" w:hAnsi="仿宋" w:eastAsia="仿宋_GB2312" w:cs="Tahoma"/>
          <w:bCs/>
          <w:color w:val="auto"/>
          <w:kern w:val="0"/>
          <w:sz w:val="32"/>
          <w:szCs w:val="32"/>
        </w:rPr>
        <w:t>被征收人在法定期限内不申请行政复议或者不提起行政诉讼，在补偿决定规定的期限内又不搬迁的，依法申请人民法院强制执行。</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十、征收范围内房屋被依法征收后，建设用地范围内国有土地使用权同时收回。</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黑体" w:hAnsi="仿宋_GB2312" w:eastAsia="黑体" w:cs="仿宋_GB2312"/>
          <w:color w:val="auto"/>
          <w:sz w:val="32"/>
          <w:szCs w:val="32"/>
        </w:rPr>
      </w:pPr>
      <w:r>
        <w:rPr>
          <w:rFonts w:hint="eastAsia" w:ascii="黑体" w:hAnsi="仿宋_GB2312" w:eastAsia="黑体" w:cs="仿宋_GB2312"/>
          <w:color w:val="auto"/>
          <w:sz w:val="32"/>
          <w:szCs w:val="32"/>
        </w:rPr>
        <w:t>十一、其他</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楷体_GB2312" w:hAnsi="楷体" w:eastAsia="楷体_GB2312" w:cs="楷体"/>
          <w:bCs/>
          <w:color w:val="auto"/>
          <w:sz w:val="32"/>
          <w:szCs w:val="32"/>
        </w:rPr>
      </w:pPr>
      <w:r>
        <w:rPr>
          <w:rFonts w:hint="eastAsia" w:ascii="楷体_GB2312" w:hAnsi="楷体" w:eastAsia="楷体_GB2312" w:cs="楷体"/>
          <w:bCs/>
          <w:color w:val="auto"/>
          <w:sz w:val="32"/>
          <w:szCs w:val="32"/>
        </w:rPr>
        <w:t>（一）选择产权调换方式安置的，由征收人承担房屋不动产权证（土地性质出让）相关办理费用，物业维修基金由被征收人承担。</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ascii="楷体_GB2312" w:hAnsi="楷体" w:eastAsia="楷体_GB2312" w:cs="楷体"/>
          <w:bCs/>
          <w:color w:val="auto"/>
          <w:sz w:val="32"/>
          <w:szCs w:val="32"/>
        </w:rPr>
      </w:pPr>
      <w:r>
        <w:rPr>
          <w:rFonts w:hint="eastAsia" w:ascii="楷体_GB2312" w:hAnsi="楷体" w:eastAsia="楷体_GB2312" w:cs="楷体"/>
          <w:bCs/>
          <w:color w:val="auto"/>
          <w:sz w:val="32"/>
          <w:szCs w:val="32"/>
        </w:rPr>
        <w:t>（二）本方案未尽事宜按有关规定研究决定。</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楷体_GB2312" w:hAnsi="楷体" w:eastAsia="楷体_GB2312" w:cs="楷体"/>
          <w:bCs/>
          <w:color w:val="auto"/>
          <w:sz w:val="32"/>
          <w:szCs w:val="32"/>
        </w:rPr>
      </w:pPr>
      <w:r>
        <w:rPr>
          <w:rFonts w:hint="eastAsia" w:ascii="楷体_GB2312" w:hAnsi="楷体" w:eastAsia="楷体_GB2312" w:cs="楷体"/>
          <w:bCs/>
          <w:color w:val="auto"/>
          <w:sz w:val="32"/>
          <w:szCs w:val="32"/>
        </w:rPr>
        <w:t>（三）凤阳县房屋征收中心对本方案拥有最终解释权。</w:t>
      </w:r>
    </w:p>
    <w:p>
      <w:pPr>
        <w:keepNext w:val="0"/>
        <w:keepLines w:val="0"/>
        <w:pageBreakBefore w:val="0"/>
        <w:kinsoku/>
        <w:wordWrap/>
        <w:overflowPunct/>
        <w:topLinePunct w:val="0"/>
        <w:autoSpaceDE/>
        <w:autoSpaceDN/>
        <w:bidi w:val="0"/>
        <w:spacing w:line="500" w:lineRule="exact"/>
        <w:ind w:right="-155" w:rightChars="-74" w:firstLine="640" w:firstLineChars="200"/>
        <w:textAlignment w:val="auto"/>
        <w:rPr>
          <w:rFonts w:hint="eastAsia" w:ascii="楷体_GB2312" w:hAnsi="楷体" w:eastAsia="楷体_GB2312" w:cs="楷体"/>
          <w:bCs/>
          <w:color w:val="auto"/>
          <w:sz w:val="32"/>
          <w:szCs w:val="32"/>
        </w:rPr>
      </w:pPr>
      <w:r>
        <w:rPr>
          <w:rFonts w:hint="eastAsia" w:ascii="楷体_GB2312" w:hAnsi="楷体" w:eastAsia="楷体_GB2312" w:cs="楷体"/>
          <w:bCs/>
          <w:color w:val="auto"/>
          <w:sz w:val="32"/>
          <w:szCs w:val="32"/>
        </w:rPr>
        <w:t>（四）本方案仅适用于本次征收范围，本方案自公布之日起实施。</w:t>
      </w:r>
    </w:p>
    <w:sectPr>
      <w:headerReference r:id="rId3" w:type="default"/>
      <w:footerReference r:id="rId4" w:type="default"/>
      <w:footerReference r:id="rId5" w:type="even"/>
      <w:pgSz w:w="11906" w:h="16838"/>
      <w:pgMar w:top="2098" w:right="1474" w:bottom="1985" w:left="1588"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- 2 -</w:t>
    </w:r>
    <w:r>
      <w:fldChar w:fldCharType="end"/>
    </w:r>
  </w:p>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262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w="15875">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19.5pt;mso-position-horizontal:center;mso-position-horizontal-relative:margin;mso-wrap-style:none;z-index:251659264;mso-width-relative:page;mso-height-relative:page;" filled="f" stroked="f" coordsize="21600,21600" o:gfxdata="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3g/RnUAAAAAwEAAA8AAAAAAAAAAQAgAAAA&#10;IgAAAGRycy9kb3ducmV2LnhtbFBLAQIUABQAAAAIAIdO4kBe5VkI1gEAAKEDAAAOAAAAAAAAAAEA&#10;IAAAACMBAABkcnMvZTJvRG9jLnhtbFBLBQYAAAAABgAGAFkBAABrBQAAAAA=&#10;">
              <v:fill on="f" focussize="0,0"/>
              <v:stroke on="f" weight="1.25pt"/>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905D7"/>
    <w:multiLevelType w:val="singleLevel"/>
    <w:tmpl w:val="9FF905D7"/>
    <w:lvl w:ilvl="0" w:tentative="0">
      <w:start w:val="2"/>
      <w:numFmt w:val="chineseCounting"/>
      <w:suff w:val="nothing"/>
      <w:lvlText w:val="%1、"/>
      <w:lvlJc w:val="left"/>
      <w:rPr>
        <w:rFonts w:hint="eastAsia"/>
      </w:rPr>
    </w:lvl>
  </w:abstractNum>
  <w:abstractNum w:abstractNumId="1">
    <w:nsid w:val="CEA0B98F"/>
    <w:multiLevelType w:val="singleLevel"/>
    <w:tmpl w:val="CEA0B98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364B"/>
    <w:rsid w:val="0007049B"/>
    <w:rsid w:val="000D3A3E"/>
    <w:rsid w:val="00101909"/>
    <w:rsid w:val="00115129"/>
    <w:rsid w:val="00115CCA"/>
    <w:rsid w:val="001271D8"/>
    <w:rsid w:val="001333AA"/>
    <w:rsid w:val="00136067"/>
    <w:rsid w:val="00171227"/>
    <w:rsid w:val="001935C3"/>
    <w:rsid w:val="001A0CF1"/>
    <w:rsid w:val="001A417B"/>
    <w:rsid w:val="002635E6"/>
    <w:rsid w:val="002806A3"/>
    <w:rsid w:val="002A39EA"/>
    <w:rsid w:val="002D6821"/>
    <w:rsid w:val="00310300"/>
    <w:rsid w:val="003149D3"/>
    <w:rsid w:val="003251B7"/>
    <w:rsid w:val="003276E8"/>
    <w:rsid w:val="003B57AB"/>
    <w:rsid w:val="003D7C70"/>
    <w:rsid w:val="003E5BBC"/>
    <w:rsid w:val="004001B1"/>
    <w:rsid w:val="00414742"/>
    <w:rsid w:val="00414B66"/>
    <w:rsid w:val="0044480B"/>
    <w:rsid w:val="004655AF"/>
    <w:rsid w:val="00477D30"/>
    <w:rsid w:val="00480521"/>
    <w:rsid w:val="004C6805"/>
    <w:rsid w:val="005500C3"/>
    <w:rsid w:val="00604B7F"/>
    <w:rsid w:val="00615CF8"/>
    <w:rsid w:val="00622A6E"/>
    <w:rsid w:val="006626BB"/>
    <w:rsid w:val="0069671A"/>
    <w:rsid w:val="006B0800"/>
    <w:rsid w:val="006F594A"/>
    <w:rsid w:val="007004C9"/>
    <w:rsid w:val="0078668E"/>
    <w:rsid w:val="007B7330"/>
    <w:rsid w:val="007C63F9"/>
    <w:rsid w:val="00804075"/>
    <w:rsid w:val="0080428A"/>
    <w:rsid w:val="00827D4E"/>
    <w:rsid w:val="00836C61"/>
    <w:rsid w:val="008708F7"/>
    <w:rsid w:val="0088039D"/>
    <w:rsid w:val="008949EA"/>
    <w:rsid w:val="008A1D12"/>
    <w:rsid w:val="008D56C8"/>
    <w:rsid w:val="00922E68"/>
    <w:rsid w:val="009C4983"/>
    <w:rsid w:val="00A07407"/>
    <w:rsid w:val="00A10F3B"/>
    <w:rsid w:val="00A62AAC"/>
    <w:rsid w:val="00A8068F"/>
    <w:rsid w:val="00AD2C1C"/>
    <w:rsid w:val="00B12651"/>
    <w:rsid w:val="00B5649F"/>
    <w:rsid w:val="00B72ADA"/>
    <w:rsid w:val="00B96FC1"/>
    <w:rsid w:val="00BA0ADE"/>
    <w:rsid w:val="00BB0A8D"/>
    <w:rsid w:val="00BC7E4A"/>
    <w:rsid w:val="00BE4CEB"/>
    <w:rsid w:val="00C473A6"/>
    <w:rsid w:val="00CA335D"/>
    <w:rsid w:val="00CB09D5"/>
    <w:rsid w:val="00CF04A8"/>
    <w:rsid w:val="00D061CA"/>
    <w:rsid w:val="00D10A0C"/>
    <w:rsid w:val="00D36233"/>
    <w:rsid w:val="00D549C7"/>
    <w:rsid w:val="00D56501"/>
    <w:rsid w:val="00DD0A6E"/>
    <w:rsid w:val="00DE6E2A"/>
    <w:rsid w:val="00E17F22"/>
    <w:rsid w:val="00E344E7"/>
    <w:rsid w:val="00E36E6C"/>
    <w:rsid w:val="00E43A7F"/>
    <w:rsid w:val="00E46F38"/>
    <w:rsid w:val="00E53F7B"/>
    <w:rsid w:val="00E63668"/>
    <w:rsid w:val="00E96B5B"/>
    <w:rsid w:val="00EA19C5"/>
    <w:rsid w:val="00EB706A"/>
    <w:rsid w:val="00EF2B42"/>
    <w:rsid w:val="011408AF"/>
    <w:rsid w:val="02AC4999"/>
    <w:rsid w:val="02EA6C8F"/>
    <w:rsid w:val="04997C50"/>
    <w:rsid w:val="05447AD8"/>
    <w:rsid w:val="066150F7"/>
    <w:rsid w:val="06C51CB8"/>
    <w:rsid w:val="074E6888"/>
    <w:rsid w:val="08534A42"/>
    <w:rsid w:val="08671812"/>
    <w:rsid w:val="0947738A"/>
    <w:rsid w:val="0A457B3C"/>
    <w:rsid w:val="0A9D34E8"/>
    <w:rsid w:val="0AB07053"/>
    <w:rsid w:val="0AF311FD"/>
    <w:rsid w:val="0B000C69"/>
    <w:rsid w:val="0B80758F"/>
    <w:rsid w:val="0C6D54CA"/>
    <w:rsid w:val="0C894FFE"/>
    <w:rsid w:val="0D1521BC"/>
    <w:rsid w:val="0E332BC3"/>
    <w:rsid w:val="0E8C06C5"/>
    <w:rsid w:val="0EF34BD7"/>
    <w:rsid w:val="1009600F"/>
    <w:rsid w:val="11831D6C"/>
    <w:rsid w:val="118B3F48"/>
    <w:rsid w:val="122468A2"/>
    <w:rsid w:val="13007F3F"/>
    <w:rsid w:val="134B4E2C"/>
    <w:rsid w:val="146A66CA"/>
    <w:rsid w:val="146F2B93"/>
    <w:rsid w:val="152A39C0"/>
    <w:rsid w:val="16F208BA"/>
    <w:rsid w:val="174954C5"/>
    <w:rsid w:val="177B3935"/>
    <w:rsid w:val="17CB04B8"/>
    <w:rsid w:val="18116712"/>
    <w:rsid w:val="18686694"/>
    <w:rsid w:val="19492DE2"/>
    <w:rsid w:val="19917966"/>
    <w:rsid w:val="1BE777CF"/>
    <w:rsid w:val="1C586F62"/>
    <w:rsid w:val="1C592177"/>
    <w:rsid w:val="1CB33BBB"/>
    <w:rsid w:val="1D697095"/>
    <w:rsid w:val="1D931D29"/>
    <w:rsid w:val="1DA1224D"/>
    <w:rsid w:val="1E0941DE"/>
    <w:rsid w:val="1E8F31F5"/>
    <w:rsid w:val="1FAC32D0"/>
    <w:rsid w:val="1FCB6322"/>
    <w:rsid w:val="1FFD2F3C"/>
    <w:rsid w:val="20FE22FE"/>
    <w:rsid w:val="218A2C05"/>
    <w:rsid w:val="21B051F7"/>
    <w:rsid w:val="23221A15"/>
    <w:rsid w:val="235928FF"/>
    <w:rsid w:val="2456002F"/>
    <w:rsid w:val="24FF6179"/>
    <w:rsid w:val="25773E68"/>
    <w:rsid w:val="2583775E"/>
    <w:rsid w:val="275B37F4"/>
    <w:rsid w:val="27BE25E8"/>
    <w:rsid w:val="27DE45C3"/>
    <w:rsid w:val="299F437F"/>
    <w:rsid w:val="2A503E5D"/>
    <w:rsid w:val="2A7B03E8"/>
    <w:rsid w:val="2B741F86"/>
    <w:rsid w:val="2C010F72"/>
    <w:rsid w:val="2C046AD1"/>
    <w:rsid w:val="2C72634E"/>
    <w:rsid w:val="2C7961B8"/>
    <w:rsid w:val="2C8D233E"/>
    <w:rsid w:val="2CF96FB4"/>
    <w:rsid w:val="2DDD712C"/>
    <w:rsid w:val="2DDE0B3D"/>
    <w:rsid w:val="2E2D3519"/>
    <w:rsid w:val="2E3921D9"/>
    <w:rsid w:val="2F6D46AB"/>
    <w:rsid w:val="2FEC0C4C"/>
    <w:rsid w:val="30E02CA5"/>
    <w:rsid w:val="30F357FF"/>
    <w:rsid w:val="31033FFA"/>
    <w:rsid w:val="31331BF4"/>
    <w:rsid w:val="31E46DBB"/>
    <w:rsid w:val="31EB28A8"/>
    <w:rsid w:val="3374295C"/>
    <w:rsid w:val="33760001"/>
    <w:rsid w:val="34563C38"/>
    <w:rsid w:val="3605667F"/>
    <w:rsid w:val="366D7D73"/>
    <w:rsid w:val="3735629D"/>
    <w:rsid w:val="38401287"/>
    <w:rsid w:val="387A3AAA"/>
    <w:rsid w:val="39205F63"/>
    <w:rsid w:val="3ADE327C"/>
    <w:rsid w:val="3B032927"/>
    <w:rsid w:val="3B913629"/>
    <w:rsid w:val="3C252381"/>
    <w:rsid w:val="3C9052E9"/>
    <w:rsid w:val="3D360820"/>
    <w:rsid w:val="3D4A0055"/>
    <w:rsid w:val="3DFA2FDB"/>
    <w:rsid w:val="3E7265E4"/>
    <w:rsid w:val="40245501"/>
    <w:rsid w:val="40397FA0"/>
    <w:rsid w:val="40837F72"/>
    <w:rsid w:val="40C41D73"/>
    <w:rsid w:val="416F13A1"/>
    <w:rsid w:val="42C168B7"/>
    <w:rsid w:val="445630DA"/>
    <w:rsid w:val="46616A38"/>
    <w:rsid w:val="46D052A7"/>
    <w:rsid w:val="48AD7823"/>
    <w:rsid w:val="48E44322"/>
    <w:rsid w:val="490235D6"/>
    <w:rsid w:val="4A7F551C"/>
    <w:rsid w:val="4B030482"/>
    <w:rsid w:val="4B157EFA"/>
    <w:rsid w:val="4B424EDD"/>
    <w:rsid w:val="4B76590B"/>
    <w:rsid w:val="4C18500F"/>
    <w:rsid w:val="4CCE2B69"/>
    <w:rsid w:val="4D5043D7"/>
    <w:rsid w:val="4D753640"/>
    <w:rsid w:val="4EE377A7"/>
    <w:rsid w:val="4EEF14C7"/>
    <w:rsid w:val="4F8B1EA3"/>
    <w:rsid w:val="50301D4B"/>
    <w:rsid w:val="50951487"/>
    <w:rsid w:val="51DC7696"/>
    <w:rsid w:val="51E52FA9"/>
    <w:rsid w:val="53275928"/>
    <w:rsid w:val="53777A84"/>
    <w:rsid w:val="53E53DBE"/>
    <w:rsid w:val="553E2501"/>
    <w:rsid w:val="55600484"/>
    <w:rsid w:val="55A44B09"/>
    <w:rsid w:val="55CF2306"/>
    <w:rsid w:val="570F350D"/>
    <w:rsid w:val="571A6338"/>
    <w:rsid w:val="577F2165"/>
    <w:rsid w:val="57B202AA"/>
    <w:rsid w:val="58774182"/>
    <w:rsid w:val="58914CD6"/>
    <w:rsid w:val="58AA33F0"/>
    <w:rsid w:val="58B20C81"/>
    <w:rsid w:val="58B2665B"/>
    <w:rsid w:val="59A06E24"/>
    <w:rsid w:val="5A1C66D7"/>
    <w:rsid w:val="5A563954"/>
    <w:rsid w:val="5A7F39EB"/>
    <w:rsid w:val="5AE2508E"/>
    <w:rsid w:val="5B9B1091"/>
    <w:rsid w:val="5BAC639F"/>
    <w:rsid w:val="5C792508"/>
    <w:rsid w:val="5CA44D1A"/>
    <w:rsid w:val="5CB107FA"/>
    <w:rsid w:val="5DCE1733"/>
    <w:rsid w:val="5E4639C7"/>
    <w:rsid w:val="5E643AFE"/>
    <w:rsid w:val="5E683F9E"/>
    <w:rsid w:val="61074C8E"/>
    <w:rsid w:val="614A0CCB"/>
    <w:rsid w:val="62C741E4"/>
    <w:rsid w:val="632E27AA"/>
    <w:rsid w:val="633D1047"/>
    <w:rsid w:val="63B427AA"/>
    <w:rsid w:val="63FA4124"/>
    <w:rsid w:val="64754A2B"/>
    <w:rsid w:val="65C370ED"/>
    <w:rsid w:val="66351113"/>
    <w:rsid w:val="66C31BD7"/>
    <w:rsid w:val="673024C2"/>
    <w:rsid w:val="67407650"/>
    <w:rsid w:val="67A472DC"/>
    <w:rsid w:val="67F5347F"/>
    <w:rsid w:val="68685D89"/>
    <w:rsid w:val="68755CD6"/>
    <w:rsid w:val="68A20489"/>
    <w:rsid w:val="68EE27D1"/>
    <w:rsid w:val="693121AF"/>
    <w:rsid w:val="697F071D"/>
    <w:rsid w:val="69E642C3"/>
    <w:rsid w:val="6B3D24AE"/>
    <w:rsid w:val="6C467F88"/>
    <w:rsid w:val="6C5E0E46"/>
    <w:rsid w:val="6D795C97"/>
    <w:rsid w:val="6D8F1654"/>
    <w:rsid w:val="6DF53280"/>
    <w:rsid w:val="6E3B4A5F"/>
    <w:rsid w:val="6E8D5E73"/>
    <w:rsid w:val="6EA13EE4"/>
    <w:rsid w:val="6EF24CA1"/>
    <w:rsid w:val="6F91479C"/>
    <w:rsid w:val="6FC81C16"/>
    <w:rsid w:val="6FF144CA"/>
    <w:rsid w:val="70173C29"/>
    <w:rsid w:val="71116B46"/>
    <w:rsid w:val="71922552"/>
    <w:rsid w:val="721C3A07"/>
    <w:rsid w:val="729B3F68"/>
    <w:rsid w:val="73FC7FFE"/>
    <w:rsid w:val="74C7578E"/>
    <w:rsid w:val="75526DC5"/>
    <w:rsid w:val="768639D2"/>
    <w:rsid w:val="76B60561"/>
    <w:rsid w:val="76C754D5"/>
    <w:rsid w:val="77066CDD"/>
    <w:rsid w:val="77597080"/>
    <w:rsid w:val="77794D34"/>
    <w:rsid w:val="781903A9"/>
    <w:rsid w:val="78A86A06"/>
    <w:rsid w:val="78EE2524"/>
    <w:rsid w:val="790203C6"/>
    <w:rsid w:val="7B0A505F"/>
    <w:rsid w:val="7B175A05"/>
    <w:rsid w:val="7D065201"/>
    <w:rsid w:val="7E387CE3"/>
    <w:rsid w:val="7FD153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widowControl/>
      <w:snapToGrid w:val="0"/>
      <w:spacing w:line="560" w:lineRule="exact"/>
      <w:ind w:firstLine="245" w:firstLineChars="122"/>
      <w:jc w:val="center"/>
    </w:pPr>
    <w:rPr>
      <w:rFonts w:ascii="宋体" w:hAnsi="宋体" w:cs="Arial"/>
      <w:b/>
      <w:color w:val="000000"/>
      <w:kern w:val="0"/>
      <w:sz w:val="44"/>
      <w:szCs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938</Words>
  <Characters>5352</Characters>
  <Lines>44</Lines>
  <Paragraphs>12</Paragraphs>
  <TotalTime>0</TotalTime>
  <ScaleCrop>false</ScaleCrop>
  <LinksUpToDate>false</LinksUpToDate>
  <CharactersWithSpaces>6278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2015-10-26T00:27:00Z</dcterms:created>
  <dc:creator>X</dc:creator>
  <cp:lastModifiedBy>Administrator</cp:lastModifiedBy>
  <cp:lastPrinted>2020-09-23T10:33:00Z</cp:lastPrinted>
  <dcterms:modified xsi:type="dcterms:W3CDTF">2021-08-13T00:28:39Z</dcterms:modified>
  <dc:title>关于县玻璃厂及其周边地块、棉织厂、棉麻公司等地块国有土地上房屋征收补偿方案征求公众意见的公告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8B3E2C68D0A64130AB8BAC2552E7DE01</vt:lpwstr>
  </property>
</Properties>
</file>