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eastAsia="zh-CN"/>
        </w:rPr>
      </w:pPr>
      <w:r>
        <w:rPr>
          <w:rFonts w:hint="eastAsia" w:ascii="仿宋_GB2312" w:hAnsi="仿宋_GB2312" w:eastAsia="仿宋_GB2312" w:cs="仿宋_GB2312"/>
          <w:b w:val="0"/>
          <w:bCs/>
          <w:color w:val="000000"/>
          <w:spacing w:val="-6"/>
          <w:sz w:val="28"/>
          <w:szCs w:val="28"/>
          <w:lang w:val="en-US" w:eastAsia="zh-CN"/>
        </w:rPr>
        <w:t>附件1：</w:t>
      </w:r>
    </w:p>
    <w:p>
      <w:pPr>
        <w:pStyle w:val="4"/>
        <w:ind w:left="0" w:leftChars="0" w:firstLine="0" w:firstLineChars="0"/>
        <w:jc w:val="center"/>
        <w:rPr>
          <w:rFonts w:hint="eastAsia" w:ascii="方正公文小标宋" w:hAnsi="方正公文小标宋" w:eastAsia="方正公文小标宋" w:cs="方正公文小标宋"/>
          <w:b w:val="0"/>
          <w:bCs w:val="0"/>
          <w:kern w:val="0"/>
          <w:sz w:val="44"/>
          <w:szCs w:val="44"/>
          <w:highlight w:val="none"/>
          <w:lang w:val="en-US" w:eastAsia="zh-CN" w:bidi="zh-CN"/>
        </w:rPr>
      </w:pPr>
      <w:r>
        <w:rPr>
          <w:rFonts w:hint="eastAsia" w:ascii="方正公文小标宋" w:hAnsi="方正公文小标宋" w:eastAsia="方正公文小标宋" w:cs="方正公文小标宋"/>
          <w:b w:val="0"/>
          <w:bCs w:val="0"/>
          <w:kern w:val="0"/>
          <w:sz w:val="44"/>
          <w:szCs w:val="44"/>
          <w:highlight w:val="none"/>
          <w:lang w:val="en-US" w:eastAsia="zh-CN" w:bidi="zh-CN"/>
        </w:rPr>
        <w:t>凤阳县首届创新创业大赛</w:t>
      </w:r>
    </w:p>
    <w:p>
      <w:pPr>
        <w:pStyle w:val="4"/>
        <w:ind w:left="0" w:leftChars="0" w:firstLine="0" w:firstLineChars="0"/>
        <w:jc w:val="center"/>
        <w:rPr>
          <w:rFonts w:hint="default" w:ascii="方正公文小标宋" w:hAnsi="方正公文小标宋" w:eastAsia="方正公文小标宋" w:cs="方正公文小标宋"/>
          <w:b w:val="0"/>
          <w:bCs w:val="0"/>
          <w:kern w:val="0"/>
          <w:sz w:val="44"/>
          <w:szCs w:val="44"/>
          <w:highlight w:val="none"/>
          <w:lang w:val="en-US" w:eastAsia="zh-CN" w:bidi="zh-CN"/>
        </w:rPr>
      </w:pPr>
      <w:r>
        <w:rPr>
          <w:rFonts w:hint="eastAsia" w:ascii="方正公文小标宋" w:hAnsi="方正公文小标宋" w:eastAsia="方正公文小标宋" w:cs="方正公文小标宋"/>
          <w:b w:val="0"/>
          <w:bCs w:val="0"/>
          <w:kern w:val="0"/>
          <w:sz w:val="44"/>
          <w:szCs w:val="44"/>
          <w:highlight w:val="none"/>
          <w:lang w:val="en-US" w:eastAsia="zh-CN" w:bidi="zh-CN"/>
        </w:rPr>
        <w:t>活动方案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一、</w:t>
      </w:r>
      <w:r>
        <w:rPr>
          <w:rFonts w:hint="eastAsia" w:ascii="Times New Roman" w:hAnsi="Times New Roman" w:eastAsia="黑体" w:cs="Times New Roman"/>
          <w:bCs/>
          <w:sz w:val="32"/>
          <w:szCs w:val="32"/>
          <w:lang w:val="en-US" w:eastAsia="zh-CN"/>
        </w:rPr>
        <w:t>大赛</w:t>
      </w:r>
      <w:r>
        <w:rPr>
          <w:rFonts w:hint="eastAsia" w:ascii="Times New Roman" w:hAnsi="Times New Roman" w:eastAsia="黑体" w:cs="Times New Roman"/>
          <w:bCs/>
          <w:sz w:val="32"/>
          <w:szCs w:val="32"/>
        </w:rPr>
        <w:t>主旨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深入实施创新驱动发展战略，扎实推进凤阳县“十四五”科技创新发展规划，持续营造浓厚创新创业氛围，大力吸引海内外优秀人才来凤创新创业，不断提升科技型企业创新发展水平，经研究，决定举办“凤阳县首届创新创业大赛”。通过举办专业性强、质量水平高的赛事活动，搭建创新要素聚集平台，解决企业在资金、技术、市场、人才等方面存在的困难和问题，以创新引领创业、创业带动就业，激发企业创新活力，加速创新要素向企业集聚，优化企业科技创新生态，扩大地方科技工作影响力和社会知晓度，营造更好的创新创业环境。</w:t>
      </w:r>
    </w:p>
    <w:p>
      <w:pPr>
        <w:spacing w:line="52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lang w:val="en-US" w:eastAsia="zh-CN"/>
        </w:rPr>
        <w:t>二</w:t>
      </w:r>
      <w:r>
        <w:rPr>
          <w:rFonts w:hint="eastAsia" w:ascii="Times New Roman" w:hAnsi="Times New Roman" w:eastAsia="黑体" w:cs="Times New Roman"/>
          <w:bCs/>
          <w:sz w:val="32"/>
          <w:szCs w:val="32"/>
        </w:rPr>
        <w:t>、</w:t>
      </w:r>
      <w:r>
        <w:rPr>
          <w:rFonts w:hint="eastAsia" w:ascii="Times New Roman" w:hAnsi="Times New Roman" w:eastAsia="黑体" w:cs="Times New Roman"/>
          <w:bCs/>
          <w:sz w:val="32"/>
          <w:szCs w:val="32"/>
          <w:lang w:val="en-US" w:eastAsia="zh-CN"/>
        </w:rPr>
        <w:t>大赛</w:t>
      </w:r>
      <w:r>
        <w:rPr>
          <w:rFonts w:hint="eastAsia" w:ascii="Times New Roman" w:hAnsi="Times New Roman" w:eastAsia="黑体" w:cs="Times New Roman"/>
          <w:bCs/>
          <w:sz w:val="32"/>
          <w:szCs w:val="32"/>
        </w:rPr>
        <w:t>主题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砥砺</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凤</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进</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阳</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帆启航</w:t>
      </w:r>
    </w:p>
    <w:p>
      <w:pPr>
        <w:spacing w:line="52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lang w:val="en-US" w:eastAsia="zh-CN"/>
        </w:rPr>
        <w:t>三</w:t>
      </w:r>
      <w:r>
        <w:rPr>
          <w:rFonts w:hint="eastAsia" w:ascii="Times New Roman" w:hAnsi="Times New Roman" w:eastAsia="黑体" w:cs="Times New Roman"/>
          <w:bCs/>
          <w:sz w:val="32"/>
          <w:szCs w:val="32"/>
        </w:rPr>
        <w:t>、</w:t>
      </w:r>
      <w:r>
        <w:rPr>
          <w:rFonts w:hint="eastAsia" w:ascii="Times New Roman" w:hAnsi="Times New Roman" w:eastAsia="黑体" w:cs="Times New Roman"/>
          <w:bCs/>
          <w:sz w:val="32"/>
          <w:szCs w:val="32"/>
          <w:lang w:val="en-US" w:eastAsia="zh-CN"/>
        </w:rPr>
        <w:t>举办时间和地点</w:t>
      </w:r>
    </w:p>
    <w:p>
      <w:pPr>
        <w:pStyle w:val="2"/>
        <w:keepNext w:val="0"/>
        <w:keepLines w:val="0"/>
        <w:pageBreakBefore w:val="0"/>
        <w:widowControl w:val="0"/>
        <w:kinsoku/>
        <w:wordWrap/>
        <w:overflowPunct/>
        <w:topLinePunct w:val="0"/>
        <w:autoSpaceDE/>
        <w:autoSpaceDN/>
        <w:bidi w:val="0"/>
        <w:adjustRightInd/>
        <w:snapToGrid/>
        <w:spacing w:line="5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时间：2023年6月16日（具体时间以最终通知为准）</w:t>
      </w:r>
    </w:p>
    <w:p>
      <w:pPr>
        <w:pStyle w:val="3"/>
        <w:ind w:left="0" w:leftChars="0" w:firstLine="0" w:firstLineChars="0"/>
        <w:rPr>
          <w:rFonts w:hint="eastAsia" w:ascii="仿宋" w:hAnsi="仿宋" w:eastAsia="仿宋" w:cs="仿宋"/>
          <w:bCs/>
          <w:sz w:val="32"/>
          <w:szCs w:val="32"/>
          <w:lang w:val="en-US"/>
        </w:rPr>
      </w:pPr>
      <w:r>
        <w:rPr>
          <w:rFonts w:hint="eastAsia" w:ascii="仿宋" w:hAnsi="仿宋" w:eastAsia="仿宋" w:cs="仿宋"/>
          <w:kern w:val="2"/>
          <w:sz w:val="30"/>
          <w:szCs w:val="30"/>
          <w:lang w:val="en-US" w:eastAsia="zh-CN" w:bidi="ar-SA"/>
        </w:rPr>
        <w:t xml:space="preserve">    地点：凤阳县花鼓大剧院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rPr>
          <w:rFonts w:hint="default" w:ascii="Times New Roman" w:hAnsi="Times New Roman" w:eastAsia="黑体" w:cs="Times New Roman"/>
          <w:bCs/>
          <w:sz w:val="32"/>
          <w:szCs w:val="32"/>
          <w:lang w:val="en-US" w:eastAsia="zh-CN"/>
        </w:rPr>
      </w:pPr>
      <w:r>
        <w:rPr>
          <w:rFonts w:hint="eastAsia" w:ascii="Times New Roman" w:hAnsi="Times New Roman" w:eastAsia="黑体" w:cs="Times New Roman"/>
          <w:bCs/>
          <w:sz w:val="32"/>
          <w:szCs w:val="32"/>
          <w:lang w:val="en-US" w:eastAsia="zh-CN"/>
        </w:rPr>
        <w:t>四</w:t>
      </w:r>
      <w:r>
        <w:rPr>
          <w:rFonts w:hint="eastAsia" w:ascii="Times New Roman" w:hAnsi="Times New Roman" w:eastAsia="黑体" w:cs="Times New Roman"/>
          <w:bCs/>
          <w:sz w:val="32"/>
          <w:szCs w:val="32"/>
        </w:rPr>
        <w:t>、</w:t>
      </w:r>
      <w:r>
        <w:rPr>
          <w:rFonts w:hint="eastAsia" w:ascii="Times New Roman" w:hAnsi="Times New Roman" w:eastAsia="黑体" w:cs="Times New Roman"/>
          <w:bCs/>
          <w:sz w:val="32"/>
          <w:szCs w:val="32"/>
          <w:lang w:val="en-US" w:eastAsia="zh-CN"/>
        </w:rPr>
        <w:t>组织单位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 主办单位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中共凤阳县委、凤阳县人民政府</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承办单位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凤阳县委人才办、凤阳县科技局</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协办单位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凤阳县委办公室、凤阳县政府办公室、</w:t>
      </w:r>
      <w:r>
        <w:rPr>
          <w:rFonts w:hint="eastAsia" w:ascii="仿宋" w:hAnsi="仿宋" w:eastAsia="仿宋" w:cs="仿宋"/>
          <w:color w:val="000000" w:themeColor="text1"/>
          <w:sz w:val="30"/>
          <w:szCs w:val="30"/>
          <w:lang w:val="en-US" w:eastAsia="zh-CN"/>
          <w14:textFill>
            <w14:solidFill>
              <w14:schemeClr w14:val="tx1"/>
            </w14:solidFill>
          </w14:textFill>
        </w:rPr>
        <w:t>凤阳县委组织部、凤阳县委宣传部、</w:t>
      </w:r>
      <w:r>
        <w:rPr>
          <w:rFonts w:hint="eastAsia" w:ascii="仿宋" w:hAnsi="仿宋" w:eastAsia="仿宋" w:cs="仿宋"/>
          <w:sz w:val="30"/>
          <w:szCs w:val="30"/>
          <w:lang w:val="en-US" w:eastAsia="zh-CN"/>
        </w:rPr>
        <w:t>凤阳县发改委、凤阳县财政局、凤阳县文旅局、凤阳县经信局、凤阳县投促局、凤阳县机关事务管理服务中心、县融媒体中心</w:t>
      </w:r>
    </w:p>
    <w:p>
      <w:pPr>
        <w:pStyle w:val="9"/>
        <w:keepNext w:val="0"/>
        <w:keepLines w:val="0"/>
        <w:pageBreakBefore w:val="0"/>
        <w:widowControl w:val="0"/>
        <w:kinsoku/>
        <w:wordWrap/>
        <w:overflowPunct/>
        <w:topLinePunct w:val="0"/>
        <w:autoSpaceDE/>
        <w:autoSpaceDN/>
        <w:bidi w:val="0"/>
        <w:adjustRightInd/>
        <w:snapToGrid/>
        <w:spacing w:line="500" w:lineRule="exact"/>
        <w:rPr>
          <w:rFonts w:hint="default" w:ascii="Times New Roman" w:hAnsi="Times New Roman" w:eastAsia="仿宋_GB2312" w:cs="Times New Roman"/>
          <w:sz w:val="30"/>
          <w:szCs w:val="30"/>
          <w:lang w:val="en-US" w:eastAsia="zh-CN"/>
        </w:rPr>
      </w:pPr>
      <w:r>
        <w:rPr>
          <w:rFonts w:hint="eastAsia" w:ascii="Times New Roman" w:hAnsi="Times New Roman" w:eastAsia="黑体" w:cs="Times New Roman"/>
          <w:bCs/>
          <w:sz w:val="32"/>
          <w:szCs w:val="32"/>
          <w:lang w:val="en-US" w:eastAsia="zh-CN"/>
        </w:rPr>
        <w:t>五</w:t>
      </w:r>
      <w:r>
        <w:rPr>
          <w:rFonts w:hint="eastAsia" w:ascii="Times New Roman" w:hAnsi="Times New Roman" w:eastAsia="黑体" w:cs="Times New Roman"/>
          <w:bCs/>
          <w:sz w:val="32"/>
          <w:szCs w:val="32"/>
          <w:lang w:eastAsia="zh-CN"/>
        </w:rPr>
        <w:t>、</w:t>
      </w:r>
      <w:r>
        <w:rPr>
          <w:rFonts w:hint="eastAsia" w:ascii="Times New Roman" w:hAnsi="Times New Roman" w:eastAsia="黑体" w:cs="Times New Roman"/>
          <w:bCs/>
          <w:sz w:val="32"/>
          <w:szCs w:val="32"/>
        </w:rPr>
        <w:t>参赛</w:t>
      </w:r>
      <w:r>
        <w:rPr>
          <w:rFonts w:hint="eastAsia" w:ascii="Times New Roman" w:hAnsi="Times New Roman" w:eastAsia="黑体" w:cs="Times New Roman"/>
          <w:bCs/>
          <w:sz w:val="32"/>
          <w:szCs w:val="32"/>
          <w:lang w:val="en-US" w:eastAsia="zh-CN"/>
        </w:rPr>
        <w:t>对象和</w:t>
      </w:r>
      <w:r>
        <w:rPr>
          <w:rFonts w:hint="eastAsia" w:ascii="Times New Roman" w:hAnsi="Times New Roman" w:eastAsia="黑体" w:cs="Times New Roman"/>
          <w:bCs/>
          <w:sz w:val="32"/>
          <w:szCs w:val="32"/>
        </w:rPr>
        <w:t>条件</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参赛项目按照企业组和人才团队组进行比赛，团队组以高层次人才团队为主进行比赛，具体参赛要求如下：</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1055" w:leftChars="0" w:hanging="425" w:firstLineChars="0"/>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企业组参赛要求</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企业具有创新能力和高成长潜力，拥有知识产权（含申报）且无产权纠纷，主要从事高新技术产品研发、制造、服务等业务。</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参赛企业经营规范、社会信誉良好、无不良记录，且为非上市企业。</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企业2022年营业收入不超过2亿元人民币。</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在往届大赛全国总决赛或全国行业总决赛中获得一、二、三等奖的项目不得参加本届大赛。</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1055" w:leftChars="0" w:hanging="425" w:firstLineChars="0"/>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团队组参赛要求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（1）项目团队拥有核心技术知识产权，且无产权纠纷；整体技术水平处于国际先进或者国内领先水平。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（2）团队成员不少于3名，且具有较高技术水平、丰富管理经验，有较好合作基础；具有较好的管理团队建设规划和发展规划。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（3）项目团队结构合理，且项目负责人具备硕士及以上学历（特别优秀的项目可适当放宽）或副高级及以上职称。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（4）项目团队携带的科技成果成熟，具备产业化能力。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（5）团队成员无不良信用记录和违法记录。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30" w:leftChars="0"/>
        <w:outlineLvl w:val="0"/>
        <w:rPr>
          <w:rFonts w:hint="eastAsia"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t>六、赛事流程</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Pr>
          <w:rFonts w:hint="eastAsia" w:ascii="楷体" w:hAnsi="楷体" w:eastAsia="楷体" w:cs="楷体"/>
          <w:b/>
          <w:bCs/>
          <w:kern w:val="2"/>
          <w:sz w:val="30"/>
          <w:szCs w:val="30"/>
          <w:lang w:val="en-US" w:eastAsia="zh-CN" w:bidi="ar-SA"/>
        </w:rPr>
      </w:pPr>
      <w:r>
        <w:rPr>
          <w:rFonts w:hint="eastAsia" w:ascii="楷体" w:hAnsi="楷体" w:eastAsia="楷体" w:cs="楷体"/>
          <w:b/>
          <w:bCs/>
          <w:kern w:val="2"/>
          <w:sz w:val="30"/>
          <w:szCs w:val="30"/>
          <w:lang w:val="en-US" w:eastAsia="zh-CN" w:bidi="ar-SA"/>
        </w:rPr>
        <w:t>（一）参赛项目征集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有意向符合条件的企业或团队需提供完整的报名材料报名参赛，具体包含大赛报名表、参赛承诺书、项目组成员身份证复印件、企业营业执照复印件、参赛项目PPT等材料，纸质版材料报送至凤阳县科技局创新办（中都城C12栋306-5），电子版材料报送至凤阳县科技局邮箱fyxkjcx@126.com。从通知发布即日起开始报名，报送截止时间为2023年6月7日。</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Pr>
          <w:rFonts w:hint="eastAsia" w:ascii="楷体" w:hAnsi="楷体" w:eastAsia="楷体" w:cs="楷体"/>
          <w:b/>
          <w:bCs/>
          <w:kern w:val="2"/>
          <w:sz w:val="30"/>
          <w:szCs w:val="30"/>
          <w:lang w:val="en-US" w:eastAsia="zh-CN" w:bidi="ar-SA"/>
        </w:rPr>
      </w:pPr>
      <w:r>
        <w:rPr>
          <w:rFonts w:hint="eastAsia" w:ascii="楷体" w:hAnsi="楷体" w:eastAsia="楷体" w:cs="楷体"/>
          <w:b/>
          <w:bCs/>
          <w:kern w:val="2"/>
          <w:sz w:val="30"/>
          <w:szCs w:val="30"/>
          <w:lang w:val="en-US" w:eastAsia="zh-CN" w:bidi="ar-SA"/>
        </w:rPr>
        <w:t>（二）参赛项目资格审查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由承办单位组织相关人员针对参赛项目进行资格审查。针对企业组项目，遴选商业模式可行性强、发展前景好、技术壁垒高、资金保障充足的项目参与比赛；针对团队组项目，遴选落地可行性强、团队组织合理、与凤阳产业契合度高、且符合落户技术水平要求的团队参与比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Pr>
          <w:rFonts w:hint="eastAsia" w:ascii="楷体" w:hAnsi="楷体" w:eastAsia="楷体" w:cs="楷体"/>
          <w:b/>
          <w:bCs/>
          <w:kern w:val="2"/>
          <w:sz w:val="30"/>
          <w:szCs w:val="30"/>
          <w:lang w:val="en-US" w:eastAsia="zh-CN" w:bidi="ar-SA"/>
        </w:rPr>
      </w:pPr>
      <w:r>
        <w:rPr>
          <w:rFonts w:hint="eastAsia" w:ascii="楷体" w:hAnsi="楷体" w:eastAsia="楷体" w:cs="楷体"/>
          <w:b/>
          <w:bCs/>
          <w:kern w:val="2"/>
          <w:sz w:val="30"/>
          <w:szCs w:val="30"/>
          <w:lang w:val="en-US" w:eastAsia="zh-CN" w:bidi="ar-SA"/>
        </w:rPr>
        <w:t>（三）比赛方式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采用线下答辩评审的方式，依据8+4模式答辩评选（即：参赛选手采用PPT汇报的方式进行项目答辩汇报8分钟，评委提问4分钟）。参赛选手根据电子抽签顺序依次进行答辩。</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比赛拟聘请风投专家、企业家、技术专家共5名担任评委，参赛选手将接受5名评委评分，每名评委按照评分标准进行打分并写出评价意见和建议，5名评委累积总分平均分作为参赛选手最终得分，并实时公布最终得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30" w:leftChars="0"/>
        <w:outlineLvl w:val="0"/>
        <w:rPr>
          <w:rFonts w:hint="eastAsia"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t>七、评分标准及评分细则</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602" w:firstLineChars="200"/>
        <w:rPr>
          <w:rFonts w:hint="eastAsia" w:ascii="仿宋" w:hAnsi="仿宋" w:eastAsia="仿宋" w:cs="仿宋"/>
          <w:bCs/>
          <w:kern w:val="2"/>
          <w:sz w:val="32"/>
          <w:szCs w:val="32"/>
          <w:highlight w:val="none"/>
          <w:lang w:val="en-US" w:eastAsia="zh-CN" w:bidi="ar-SA"/>
        </w:rPr>
      </w:pPr>
      <w:r>
        <w:rPr>
          <w:rFonts w:hint="eastAsia" w:ascii="楷体" w:hAnsi="楷体" w:eastAsia="楷体" w:cs="楷体"/>
          <w:b/>
          <w:bCs/>
          <w:kern w:val="2"/>
          <w:sz w:val="30"/>
          <w:szCs w:val="30"/>
          <w:lang w:val="en-US" w:eastAsia="zh-CN" w:bidi="ar-SA"/>
        </w:rPr>
        <w:t>评分标准：</w:t>
      </w:r>
    </w:p>
    <w:p>
      <w:pPr>
        <w:pStyle w:val="9"/>
        <w:rPr>
          <w:rFonts w:hint="eastAsia" w:ascii="楷体" w:hAnsi="楷体" w:eastAsia="楷体" w:cs="楷体"/>
          <w:b/>
          <w:bCs/>
          <w:kern w:val="2"/>
          <w:sz w:val="30"/>
          <w:szCs w:val="30"/>
          <w:lang w:val="en-US" w:eastAsia="zh-CN" w:bidi="ar-SA"/>
        </w:rPr>
      </w:pPr>
    </w:p>
    <w:p>
      <w:pPr>
        <w:pStyle w:val="9"/>
        <w:rPr>
          <w:rFonts w:hint="eastAsia" w:ascii="楷体" w:hAnsi="楷体" w:eastAsia="楷体" w:cs="楷体"/>
          <w:b/>
          <w:bCs/>
          <w:kern w:val="2"/>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rPr>
          <w:rFonts w:hint="eastAsia" w:ascii="仿宋" w:hAnsi="仿宋" w:eastAsia="仿宋" w:cs="仿宋"/>
          <w:lang w:val="en-US" w:eastAsia="zh-CN"/>
        </w:rPr>
      </w:pPr>
      <w:r>
        <w:rPr>
          <w:rFonts w:hint="eastAsia" w:ascii="仿宋" w:hAnsi="仿宋" w:eastAsia="仿宋" w:cs="仿宋"/>
          <w:bCs/>
          <w:kern w:val="2"/>
          <w:sz w:val="32"/>
          <w:szCs w:val="32"/>
          <w:highlight w:val="none"/>
          <w:lang w:val="en-US" w:eastAsia="zh-CN" w:bidi="ar-SA"/>
        </w:rPr>
        <w:t>1.  企业组评分标准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0"/>
        <w:gridCol w:w="4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评价内容</w:t>
            </w:r>
          </w:p>
        </w:tc>
        <w:tc>
          <w:tcPr>
            <w:tcW w:w="40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技术和产品</w:t>
            </w:r>
          </w:p>
        </w:tc>
        <w:tc>
          <w:tcPr>
            <w:tcW w:w="40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商业模式及实施方案</w:t>
            </w:r>
          </w:p>
        </w:tc>
        <w:tc>
          <w:tcPr>
            <w:tcW w:w="40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行业及市场</w:t>
            </w:r>
          </w:p>
        </w:tc>
        <w:tc>
          <w:tcPr>
            <w:tcW w:w="40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团队</w:t>
            </w:r>
          </w:p>
        </w:tc>
        <w:tc>
          <w:tcPr>
            <w:tcW w:w="40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rPr>
              <w:t>2</w:t>
            </w:r>
            <w:r>
              <w:rPr>
                <w:rFonts w:hint="eastAsia" w:ascii="仿宋" w:hAnsi="仿宋" w:eastAsia="仿宋" w:cs="仿宋"/>
                <w:bCs/>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财务分析</w:t>
            </w:r>
          </w:p>
        </w:tc>
        <w:tc>
          <w:tcPr>
            <w:tcW w:w="40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5</w:t>
            </w:r>
          </w:p>
        </w:tc>
      </w:tr>
    </w:tbl>
    <w:p>
      <w:pPr>
        <w:keepNext w:val="0"/>
        <w:keepLines w:val="0"/>
        <w:pageBreakBefore w:val="0"/>
        <w:widowControl w:val="0"/>
        <w:kinsoku/>
        <w:wordWrap/>
        <w:overflowPunct/>
        <w:topLinePunct w:val="0"/>
        <w:autoSpaceDE/>
        <w:autoSpaceDN/>
        <w:bidi w:val="0"/>
        <w:adjustRightInd/>
        <w:snapToGrid/>
        <w:spacing w:line="500" w:lineRule="exact"/>
        <w:ind w:firstLine="640" w:firstLineChars="200"/>
        <w:rPr>
          <w:rFonts w:hint="eastAsia" w:ascii="仿宋" w:hAnsi="仿宋" w:eastAsia="仿宋" w:cs="仿宋"/>
          <w:bCs/>
          <w:kern w:val="2"/>
          <w:sz w:val="32"/>
          <w:szCs w:val="32"/>
          <w:highlight w:val="none"/>
          <w:lang w:val="en-US" w:eastAsia="zh-CN" w:bidi="ar-SA"/>
        </w:rPr>
      </w:pPr>
      <w:r>
        <w:rPr>
          <w:rFonts w:hint="eastAsia" w:ascii="仿宋" w:hAnsi="仿宋" w:eastAsia="仿宋" w:cs="仿宋"/>
          <w:bCs/>
          <w:kern w:val="2"/>
          <w:sz w:val="32"/>
          <w:szCs w:val="32"/>
          <w:highlight w:val="none"/>
          <w:lang w:val="en-US" w:eastAsia="zh-CN" w:bidi="ar-SA"/>
        </w:rPr>
        <w:t>2.  团队组评分标准</w:t>
      </w:r>
    </w:p>
    <w:tbl>
      <w:tblPr>
        <w:tblStyle w:val="7"/>
        <w:tblW w:w="7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6"/>
        <w:gridCol w:w="4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评价内容</w:t>
            </w:r>
          </w:p>
        </w:tc>
        <w:tc>
          <w:tcPr>
            <w:tcW w:w="40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eastAsia="zh-CN"/>
              </w:rPr>
            </w:pPr>
            <w:r>
              <w:rPr>
                <w:rFonts w:hint="eastAsia" w:ascii="仿宋" w:hAnsi="仿宋" w:eastAsia="仿宋" w:cs="仿宋"/>
                <w:bCs/>
                <w:sz w:val="28"/>
                <w:szCs w:val="28"/>
                <w:highlight w:val="none"/>
                <w:lang w:val="en-US" w:eastAsia="zh-CN"/>
              </w:rPr>
              <w:t>团队</w:t>
            </w:r>
          </w:p>
        </w:tc>
        <w:tc>
          <w:tcPr>
            <w:tcW w:w="40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rPr>
            </w:pPr>
            <w:r>
              <w:rPr>
                <w:rFonts w:hint="eastAsia" w:ascii="仿宋" w:hAnsi="仿宋" w:eastAsia="仿宋" w:cs="仿宋"/>
                <w:bCs/>
                <w:sz w:val="28"/>
                <w:szCs w:val="28"/>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核心知识产权</w:t>
            </w:r>
          </w:p>
        </w:tc>
        <w:tc>
          <w:tcPr>
            <w:tcW w:w="40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技术成熟度</w:t>
            </w:r>
          </w:p>
        </w:tc>
        <w:tc>
          <w:tcPr>
            <w:tcW w:w="40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rPr>
              <w:t>商业模式</w:t>
            </w:r>
          </w:p>
        </w:tc>
        <w:tc>
          <w:tcPr>
            <w:tcW w:w="40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行业及市场</w:t>
            </w:r>
          </w:p>
        </w:tc>
        <w:tc>
          <w:tcPr>
            <w:tcW w:w="40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财务分析</w:t>
            </w:r>
          </w:p>
        </w:tc>
        <w:tc>
          <w:tcPr>
            <w:tcW w:w="40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10</w:t>
            </w:r>
          </w:p>
        </w:tc>
      </w:tr>
    </w:tbl>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楷体" w:hAnsi="楷体" w:eastAsia="楷体" w:cs="楷体"/>
          <w:b/>
          <w:bCs/>
          <w:kern w:val="2"/>
          <w:sz w:val="30"/>
          <w:szCs w:val="30"/>
          <w:lang w:val="en-US" w:eastAsia="zh-CN" w:bidi="ar-SA"/>
        </w:rPr>
      </w:pPr>
      <w:r>
        <w:rPr>
          <w:rFonts w:hint="eastAsia" w:ascii="楷体" w:hAnsi="楷体" w:eastAsia="楷体" w:cs="楷体"/>
          <w:b/>
          <w:bCs/>
          <w:kern w:val="2"/>
          <w:sz w:val="30"/>
          <w:szCs w:val="30"/>
          <w:lang w:val="en-US" w:eastAsia="zh-CN" w:bidi="ar-SA"/>
        </w:rPr>
        <w:t>（二）评分细则：</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 每个参赛项目将接受5名评委进行现场评分；</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 每名评委按照对应组别评分标准进行打分并写出评价意见和建议，以全体评委评分的平均分作为参赛企业的最终得分；</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rPr>
          <w:rFonts w:hint="eastAsia" w:ascii="仿宋" w:hAnsi="仿宋" w:eastAsia="仿宋" w:cs="仿宋"/>
          <w:bCs/>
          <w:sz w:val="32"/>
          <w:szCs w:val="32"/>
          <w:highlight w:val="none"/>
          <w:lang w:val="en-US" w:eastAsia="zh-CN"/>
        </w:rPr>
      </w:pPr>
      <w:r>
        <w:rPr>
          <w:rFonts w:hint="eastAsia" w:ascii="仿宋" w:hAnsi="仿宋" w:eastAsia="仿宋" w:cs="仿宋"/>
          <w:kern w:val="2"/>
          <w:sz w:val="32"/>
          <w:szCs w:val="32"/>
          <w:lang w:val="en-US" w:eastAsia="zh-CN" w:bidi="ar-SA"/>
        </w:rPr>
        <w:t>3. 以参赛企业/团队最终得分排名作为获奖排名标准。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30" w:leftChars="0"/>
        <w:outlineLvl w:val="0"/>
        <w:rPr>
          <w:rFonts w:hint="eastAsia"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t>八、奖励设置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val="0"/>
          <w:kern w:val="2"/>
          <w:sz w:val="32"/>
          <w:szCs w:val="32"/>
          <w:highlight w:val="none"/>
          <w:lang w:val="en-US" w:eastAsia="zh-CN" w:bidi="ar-SA"/>
        </w:rPr>
        <w:t>（一）比赛奖级：</w:t>
      </w:r>
      <w:r>
        <w:rPr>
          <w:rFonts w:hint="eastAsia" w:ascii="仿宋" w:hAnsi="仿宋" w:eastAsia="仿宋" w:cs="仿宋"/>
          <w:kern w:val="2"/>
          <w:sz w:val="32"/>
          <w:szCs w:val="32"/>
          <w:lang w:val="en-US" w:eastAsia="zh-CN" w:bidi="ar-SA"/>
        </w:rPr>
        <w:t>本次大赛企业组和团队组各设立一等奖1个、二等奖1个、三等奖1个。</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val="0"/>
          <w:kern w:val="2"/>
          <w:sz w:val="32"/>
          <w:szCs w:val="32"/>
          <w:highlight w:val="none"/>
          <w:lang w:val="en-US" w:eastAsia="zh-CN" w:bidi="ar-SA"/>
        </w:rPr>
      </w:pPr>
      <w:r>
        <w:rPr>
          <w:rFonts w:hint="eastAsia" w:ascii="仿宋" w:hAnsi="仿宋" w:eastAsia="仿宋" w:cs="仿宋"/>
          <w:b/>
          <w:bCs w:val="0"/>
          <w:kern w:val="2"/>
          <w:sz w:val="32"/>
          <w:szCs w:val="32"/>
          <w:highlight w:val="none"/>
          <w:lang w:val="en-US" w:eastAsia="zh-CN" w:bidi="ar-SA"/>
        </w:rPr>
        <w:t>（二）奖励设置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kern w:val="2"/>
          <w:sz w:val="32"/>
          <w:szCs w:val="32"/>
          <w:highlight w:val="none"/>
          <w:lang w:val="en-US" w:eastAsia="zh-CN" w:bidi="ar-SA"/>
        </w:rPr>
        <w:t>1.资金奖励设置</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根据参赛企业和团队获奖情况，凤阳县给予资金奖励：一等奖3万元；二等奖2万元；三等奖1万元。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kern w:val="2"/>
          <w:sz w:val="32"/>
          <w:szCs w:val="32"/>
          <w:highlight w:val="none"/>
          <w:lang w:val="en-US" w:eastAsia="zh-CN" w:bidi="ar-SA"/>
        </w:rPr>
      </w:pPr>
      <w:r>
        <w:rPr>
          <w:rFonts w:hint="eastAsia" w:ascii="仿宋" w:hAnsi="仿宋" w:eastAsia="仿宋" w:cs="仿宋"/>
          <w:b w:val="0"/>
          <w:bCs/>
          <w:kern w:val="2"/>
          <w:sz w:val="32"/>
          <w:szCs w:val="32"/>
          <w:highlight w:val="none"/>
          <w:lang w:val="en-US" w:eastAsia="zh-CN" w:bidi="ar-SA"/>
        </w:rPr>
        <w:t>2.项目奖励设置</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比赛获奖的项目（县外企业或团队，需在凤阳县注册并建设投产），给予凤阳县科技计划项目10-30万元支持，并享受招商引资相关政策。在凤阳县落地的获奖项目优先推荐申报天使投资资金项目，成功申报的将按照规定给予300万、600万、1000万资金支持。</w:t>
      </w: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val="0"/>
          <w:kern w:val="2"/>
          <w:sz w:val="32"/>
          <w:szCs w:val="32"/>
          <w:highlight w:val="none"/>
          <w:lang w:val="en-US" w:eastAsia="zh-CN" w:bidi="ar-SA"/>
        </w:rPr>
      </w:pPr>
      <w:r>
        <w:rPr>
          <w:rFonts w:hint="eastAsia" w:ascii="仿宋" w:hAnsi="仿宋" w:eastAsia="仿宋" w:cs="仿宋"/>
          <w:b/>
          <w:bCs w:val="0"/>
          <w:kern w:val="2"/>
          <w:sz w:val="32"/>
          <w:szCs w:val="32"/>
          <w:highlight w:val="none"/>
          <w:lang w:val="en-US" w:eastAsia="zh-CN" w:bidi="ar-SA"/>
        </w:rPr>
        <w:t>（三）奖励发放方式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 比赛获奖的项目（县外企业或团队，须完成新公司在凤阳注册），经承办单位确认后，在20个工作日内发放现金奖励。</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rPr>
          <w:rFonts w:hint="eastAsia" w:ascii="仿宋_GB2312" w:hAnsi="仿宋_GB2312" w:eastAsia="仿宋_GB2312" w:cs="仿宋_GB2312"/>
          <w:b w:val="0"/>
          <w:bCs/>
          <w:color w:val="000000"/>
          <w:spacing w:val="-6"/>
          <w:sz w:val="28"/>
          <w:szCs w:val="28"/>
          <w:lang w:val="en-US" w:eastAsia="zh-CN"/>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r>
        <w:rPr>
          <w:rFonts w:hint="eastAsia" w:ascii="仿宋" w:hAnsi="仿宋" w:eastAsia="仿宋" w:cs="仿宋"/>
          <w:kern w:val="2"/>
          <w:sz w:val="32"/>
          <w:szCs w:val="32"/>
          <w:lang w:val="en-US" w:eastAsia="zh-CN" w:bidi="ar-SA"/>
        </w:rPr>
        <w:t>2. 比赛获奖的项目（县外企业或团队，须完成在凤阳县注册并建设投产），由县科技局依据获奖等次情况和与本地产业结合情况给予科技计划项目支持。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32625"/>
    <w:multiLevelType w:val="singleLevel"/>
    <w:tmpl w:val="B3132625"/>
    <w:lvl w:ilvl="0" w:tentative="0">
      <w:start w:val="1"/>
      <w:numFmt w:val="decimal"/>
      <w:suff w:val="nothing"/>
      <w:lvlText w:val="（%1）"/>
      <w:lvlJc w:val="left"/>
    </w:lvl>
  </w:abstractNum>
  <w:abstractNum w:abstractNumId="1">
    <w:nsid w:val="F93F428F"/>
    <w:multiLevelType w:val="singleLevel"/>
    <w:tmpl w:val="F93F428F"/>
    <w:lvl w:ilvl="0" w:tentative="0">
      <w:start w:val="1"/>
      <w:numFmt w:val="decimal"/>
      <w:lvlText w:val="%1."/>
      <w:lvlJc w:val="left"/>
      <w:pPr>
        <w:ind w:left="1055" w:hanging="425"/>
      </w:pPr>
      <w:rPr>
        <w:rFonts w:hint="default"/>
      </w:rPr>
    </w:lvl>
  </w:abstractNum>
  <w:abstractNum w:abstractNumId="2">
    <w:nsid w:val="0F72AE07"/>
    <w:multiLevelType w:val="singleLevel"/>
    <w:tmpl w:val="0F72AE07"/>
    <w:lvl w:ilvl="0" w:tentative="0">
      <w:start w:val="2"/>
      <w:numFmt w:val="decimal"/>
      <w:suff w:val="space"/>
      <w:lvlText w:val="%1."/>
      <w:lvlJc w:val="left"/>
    </w:lvl>
  </w:abstractNum>
  <w:abstractNum w:abstractNumId="3">
    <w:nsid w:val="18A2A01C"/>
    <w:multiLevelType w:val="singleLevel"/>
    <w:tmpl w:val="18A2A01C"/>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5ZDVmYjQxOWY5MDdhYjM1ZGU3OTQyZmY1NTA4NmUifQ=="/>
  </w:docVars>
  <w:rsids>
    <w:rsidRoot w:val="55FA384D"/>
    <w:rsid w:val="2C002162"/>
    <w:rsid w:val="30341E77"/>
    <w:rsid w:val="33792297"/>
    <w:rsid w:val="55FA3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style>
  <w:style w:type="paragraph" w:styleId="3">
    <w:name w:val="toc 5"/>
    <w:basedOn w:val="1"/>
    <w:next w:val="1"/>
    <w:qFormat/>
    <w:uiPriority w:val="0"/>
    <w:pPr>
      <w:ind w:left="1680" w:leftChars="800"/>
    </w:pPr>
  </w:style>
  <w:style w:type="paragraph" w:styleId="4">
    <w:name w:val="Body Text Indent 2"/>
    <w:basedOn w:val="1"/>
    <w:qFormat/>
    <w:uiPriority w:val="99"/>
    <w:pPr>
      <w:spacing w:line="590" w:lineRule="exact"/>
      <w:ind w:firstLine="880" w:firstLineChars="200"/>
    </w:pPr>
    <w:rPr>
      <w:rFonts w:eastAsia="方正仿宋_GBK"/>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NormalIndent"/>
    <w:basedOn w:val="1"/>
    <w:qFormat/>
    <w:uiPriority w:val="0"/>
    <w:pPr>
      <w:ind w:firstLine="420" w:firstLineChars="200"/>
      <w:jc w:val="both"/>
      <w:textAlignment w:val="baseline"/>
    </w:pPr>
    <w:rPr>
      <w:rFonts w:ascii="Calibri" w:hAnsi="Calibri"/>
      <w:kern w:val="2"/>
      <w:sz w:val="21"/>
      <w:szCs w:val="24"/>
      <w:lang w:val="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2343</Words>
  <Characters>2422</Characters>
  <Lines>0</Lines>
  <Paragraphs>0</Paragraphs>
  <TotalTime>28</TotalTime>
  <ScaleCrop>false</ScaleCrop>
  <LinksUpToDate>false</LinksUpToDate>
  <CharactersWithSpaces>2478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2023-05-25T03:41:00Z</dcterms:created>
  <dc:creator>那xx</dc:creator>
  <cp:lastModifiedBy>薄荷冰</cp:lastModifiedBy>
  <dcterms:modified xsi:type="dcterms:W3CDTF">2023-05-26T01:18:00Z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42896B25EC7F4295AA60D948D6A07097_13</vt:lpwstr>
  </property>
</Properties>
</file>